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DB820">
      <w:pPr>
        <w:keepNext w:val="0"/>
        <w:keepLines w:val="0"/>
        <w:widowControl/>
        <w:suppressLineNumbers w:val="0"/>
        <w:jc w:val="left"/>
        <w:rPr>
          <w:rFonts w:ascii="仿宋" w:hAnsi="仿宋" w:eastAsia="仿宋" w:cs="仿宋"/>
          <w:b/>
          <w:bCs/>
          <w:color w:val="000000"/>
          <w:kern w:val="0"/>
          <w:sz w:val="44"/>
          <w:szCs w:val="44"/>
          <w:lang w:val="en-US" w:eastAsia="zh-CN" w:bidi="ar"/>
        </w:rPr>
      </w:pPr>
    </w:p>
    <w:p w14:paraId="12A7D1F2">
      <w:pPr>
        <w:keepNext w:val="0"/>
        <w:keepLines w:val="0"/>
        <w:widowControl/>
        <w:suppressLineNumbers w:val="0"/>
        <w:jc w:val="left"/>
        <w:rPr>
          <w:rFonts w:ascii="仿宋" w:hAnsi="仿宋" w:eastAsia="仿宋" w:cs="仿宋"/>
          <w:b/>
          <w:bCs/>
          <w:color w:val="000000"/>
          <w:kern w:val="0"/>
          <w:sz w:val="44"/>
          <w:szCs w:val="44"/>
          <w:lang w:val="en-US" w:eastAsia="zh-CN" w:bidi="ar"/>
        </w:rPr>
      </w:pPr>
    </w:p>
    <w:p w14:paraId="76F08A92">
      <w:pPr>
        <w:keepNext w:val="0"/>
        <w:keepLines w:val="0"/>
        <w:widowControl/>
        <w:suppressLineNumbers w:val="0"/>
        <w:jc w:val="left"/>
        <w:rPr>
          <w:rFonts w:ascii="仿宋" w:hAnsi="仿宋" w:eastAsia="仿宋" w:cs="仿宋"/>
          <w:b/>
          <w:bCs/>
          <w:color w:val="000000"/>
          <w:kern w:val="0"/>
          <w:sz w:val="44"/>
          <w:szCs w:val="44"/>
          <w:lang w:val="en-US" w:eastAsia="zh-CN" w:bidi="ar"/>
        </w:rPr>
      </w:pPr>
    </w:p>
    <w:p w14:paraId="4444EA45">
      <w:pPr>
        <w:keepNext w:val="0"/>
        <w:keepLines w:val="0"/>
        <w:widowControl/>
        <w:suppressLineNumbers w:val="0"/>
        <w:jc w:val="left"/>
        <w:rPr>
          <w:rFonts w:ascii="仿宋" w:hAnsi="仿宋" w:eastAsia="仿宋" w:cs="仿宋"/>
          <w:b/>
          <w:bCs/>
          <w:color w:val="000000"/>
          <w:kern w:val="0"/>
          <w:sz w:val="44"/>
          <w:szCs w:val="44"/>
          <w:lang w:val="en-US" w:eastAsia="zh-CN" w:bidi="ar"/>
        </w:rPr>
      </w:pPr>
      <w:bookmarkStart w:id="0" w:name="_GoBack"/>
      <w:bookmarkEnd w:id="0"/>
    </w:p>
    <w:p w14:paraId="11EB84CB">
      <w:pPr>
        <w:keepNext w:val="0"/>
        <w:keepLines w:val="0"/>
        <w:widowControl/>
        <w:suppressLineNumbers w:val="0"/>
        <w:jc w:val="left"/>
        <w:rPr>
          <w:rFonts w:ascii="仿宋" w:hAnsi="仿宋" w:eastAsia="仿宋" w:cs="仿宋"/>
          <w:b/>
          <w:bCs/>
          <w:color w:val="000000"/>
          <w:kern w:val="0"/>
          <w:sz w:val="44"/>
          <w:szCs w:val="44"/>
          <w:lang w:val="en-US" w:eastAsia="zh-CN" w:bidi="ar"/>
        </w:rPr>
      </w:pPr>
    </w:p>
    <w:p w14:paraId="7FC8F84E">
      <w:pPr>
        <w:keepNext w:val="0"/>
        <w:keepLines w:val="0"/>
        <w:widowControl/>
        <w:suppressLineNumbers w:val="0"/>
        <w:jc w:val="left"/>
        <w:rPr>
          <w:rFonts w:ascii="仿宋" w:hAnsi="仿宋" w:eastAsia="仿宋" w:cs="仿宋"/>
          <w:b/>
          <w:bCs/>
          <w:color w:val="000000"/>
          <w:kern w:val="0"/>
          <w:sz w:val="44"/>
          <w:szCs w:val="44"/>
          <w:lang w:val="en-US" w:eastAsia="zh-CN" w:bidi="ar"/>
        </w:rPr>
      </w:pPr>
    </w:p>
    <w:p w14:paraId="06ADC03F">
      <w:pPr>
        <w:keepNext w:val="0"/>
        <w:keepLines w:val="0"/>
        <w:widowControl/>
        <w:suppressLineNumbers w:val="0"/>
        <w:ind w:right="-92" w:rightChars="-44"/>
        <w:jc w:val="center"/>
        <w:rPr>
          <w:rFonts w:ascii="仿宋" w:hAnsi="仿宋" w:eastAsia="仿宋" w:cs="仿宋"/>
          <w:b/>
          <w:bCs/>
          <w:color w:val="000000"/>
          <w:kern w:val="0"/>
          <w:sz w:val="44"/>
          <w:szCs w:val="44"/>
          <w:lang w:val="en-US" w:eastAsia="zh-CN" w:bidi="ar"/>
        </w:rPr>
      </w:pPr>
      <w:r>
        <w:rPr>
          <w:rFonts w:ascii="仿宋" w:hAnsi="仿宋" w:eastAsia="仿宋" w:cs="仿宋"/>
          <w:b/>
          <w:bCs/>
          <w:color w:val="000000"/>
          <w:kern w:val="0"/>
          <w:sz w:val="44"/>
          <w:szCs w:val="44"/>
          <w:lang w:val="en-US" w:eastAsia="zh-CN" w:bidi="ar"/>
        </w:rPr>
        <w:t>302009柳州市土地交易储备中</w:t>
      </w:r>
      <w:r>
        <w:rPr>
          <w:rFonts w:hint="eastAsia" w:ascii="仿宋" w:hAnsi="仿宋" w:eastAsia="仿宋" w:cs="仿宋"/>
          <w:b/>
          <w:bCs/>
          <w:color w:val="000000"/>
          <w:kern w:val="0"/>
          <w:sz w:val="44"/>
          <w:szCs w:val="44"/>
          <w:lang w:val="en-US" w:eastAsia="zh-CN" w:bidi="ar"/>
        </w:rPr>
        <w:t>心</w:t>
      </w:r>
      <w:r>
        <w:rPr>
          <w:rFonts w:ascii="仿宋" w:hAnsi="仿宋" w:eastAsia="仿宋" w:cs="仿宋"/>
          <w:b/>
          <w:bCs/>
          <w:color w:val="000000"/>
          <w:kern w:val="0"/>
          <w:sz w:val="44"/>
          <w:szCs w:val="44"/>
          <w:lang w:val="en-US" w:eastAsia="zh-CN" w:bidi="ar"/>
        </w:rPr>
        <w:t>2026年</w:t>
      </w:r>
    </w:p>
    <w:p w14:paraId="26CDF974">
      <w:pPr>
        <w:keepNext w:val="0"/>
        <w:keepLines w:val="0"/>
        <w:widowControl/>
        <w:suppressLineNumbers w:val="0"/>
        <w:ind w:right="-92" w:rightChars="-44"/>
        <w:jc w:val="center"/>
        <w:rPr>
          <w:rFonts w:hint="eastAsia" w:ascii="仿宋" w:hAnsi="仿宋" w:eastAsia="仿宋" w:cs="仿宋"/>
          <w:b/>
          <w:bCs/>
          <w:color w:val="000000"/>
          <w:kern w:val="0"/>
          <w:sz w:val="44"/>
          <w:szCs w:val="44"/>
          <w:lang w:val="en-US" w:eastAsia="zh-CN" w:bidi="ar"/>
        </w:rPr>
      </w:pPr>
      <w:r>
        <w:rPr>
          <w:rFonts w:ascii="仿宋" w:hAnsi="仿宋" w:eastAsia="仿宋" w:cs="仿宋"/>
          <w:b/>
          <w:bCs/>
          <w:color w:val="000000"/>
          <w:kern w:val="0"/>
          <w:sz w:val="44"/>
          <w:szCs w:val="44"/>
          <w:lang w:val="en-US" w:eastAsia="zh-CN" w:bidi="ar"/>
        </w:rPr>
        <w:t>单位</w:t>
      </w:r>
      <w:r>
        <w:rPr>
          <w:rFonts w:hint="eastAsia" w:ascii="仿宋" w:hAnsi="仿宋" w:eastAsia="仿宋" w:cs="仿宋"/>
          <w:b/>
          <w:bCs/>
          <w:color w:val="000000"/>
          <w:kern w:val="0"/>
          <w:sz w:val="44"/>
          <w:szCs w:val="44"/>
          <w:lang w:val="en-US" w:eastAsia="zh-CN" w:bidi="ar"/>
        </w:rPr>
        <w:t>预算公开说明</w:t>
      </w:r>
    </w:p>
    <w:p w14:paraId="57E3DBE2">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251E4773">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3D228F91">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199F7B57">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467FF703">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22C169BA">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4F80EA60">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75CFCDA2">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01ECFAEF">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4EC25375">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56D630C3">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1FC06ED1">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232EA5E2">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14:paraId="124109A3">
      <w:pPr>
        <w:keepNext w:val="0"/>
        <w:keepLines w:val="0"/>
        <w:widowControl/>
        <w:suppressLineNumbers w:val="0"/>
        <w:jc w:val="both"/>
        <w:rPr>
          <w:rFonts w:ascii="黑体" w:hAnsi="宋体" w:eastAsia="黑体" w:cs="黑体"/>
          <w:color w:val="000000"/>
          <w:kern w:val="0"/>
          <w:sz w:val="44"/>
          <w:szCs w:val="44"/>
          <w:lang w:val="en-US" w:eastAsia="zh-CN" w:bidi="ar"/>
        </w:rPr>
      </w:pPr>
    </w:p>
    <w:p w14:paraId="5A4357DA">
      <w:pPr>
        <w:keepNext w:val="0"/>
        <w:keepLines w:val="0"/>
        <w:widowControl/>
        <w:suppressLineNumbers w:val="0"/>
        <w:jc w:val="center"/>
      </w:pPr>
      <w:r>
        <w:rPr>
          <w:rFonts w:ascii="黑体" w:hAnsi="宋体" w:eastAsia="黑体" w:cs="黑体"/>
          <w:color w:val="000000"/>
          <w:kern w:val="0"/>
          <w:sz w:val="44"/>
          <w:szCs w:val="44"/>
          <w:lang w:val="en-US" w:eastAsia="zh-CN" w:bidi="ar"/>
        </w:rPr>
        <w:t>目 录</w:t>
      </w:r>
    </w:p>
    <w:p w14:paraId="6C788446">
      <w:pPr>
        <w:keepNext w:val="0"/>
        <w:keepLines w:val="0"/>
        <w:widowControl/>
        <w:suppressLineNumbers w:val="0"/>
        <w:jc w:val="left"/>
        <w:rPr>
          <w:rFonts w:hint="eastAsia" w:ascii="黑体" w:hAnsi="宋体" w:eastAsia="黑体" w:cs="黑体"/>
          <w:b/>
          <w:bCs/>
          <w:color w:val="000000"/>
          <w:kern w:val="0"/>
          <w:sz w:val="32"/>
          <w:szCs w:val="32"/>
          <w:lang w:val="en-US" w:eastAsia="zh-CN" w:bidi="ar"/>
        </w:rPr>
      </w:pPr>
      <w:r>
        <w:rPr>
          <w:rFonts w:hint="eastAsia" w:ascii="黑体" w:hAnsi="宋体" w:eastAsia="黑体" w:cs="黑体"/>
          <w:b/>
          <w:bCs/>
          <w:color w:val="000000"/>
          <w:kern w:val="0"/>
          <w:sz w:val="32"/>
          <w:szCs w:val="32"/>
          <w:lang w:val="en-US" w:eastAsia="zh-CN" w:bidi="ar"/>
        </w:rPr>
        <w:t xml:space="preserve">第一部分 302009柳州市土地交易储备中心概况 </w:t>
      </w:r>
    </w:p>
    <w:p w14:paraId="3002D19D">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一、主要职责 </w:t>
      </w:r>
    </w:p>
    <w:p w14:paraId="50BB6BB4">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二、机构设置情况 </w:t>
      </w:r>
    </w:p>
    <w:p w14:paraId="7916F4DB">
      <w:pPr>
        <w:keepNext w:val="0"/>
        <w:keepLines w:val="0"/>
        <w:widowControl/>
        <w:suppressLineNumbers w:val="0"/>
        <w:jc w:val="left"/>
      </w:pPr>
      <w:r>
        <w:rPr>
          <w:rFonts w:hint="eastAsia" w:ascii="黑体" w:hAnsi="宋体" w:eastAsia="黑体" w:cs="黑体"/>
          <w:b/>
          <w:bCs/>
          <w:color w:val="000000"/>
          <w:kern w:val="0"/>
          <w:sz w:val="32"/>
          <w:szCs w:val="32"/>
          <w:lang w:val="en-US" w:eastAsia="zh-CN" w:bidi="ar"/>
        </w:rPr>
        <w:t xml:space="preserve">第二部分 302009柳州市土地交易储备中心2026年单位预算情况说明 </w:t>
      </w:r>
    </w:p>
    <w:p w14:paraId="05D5649B">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一、单位收支总体情况说明 </w:t>
      </w:r>
    </w:p>
    <w:p w14:paraId="04D43663">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二、单位收入总体情况说明 </w:t>
      </w:r>
    </w:p>
    <w:p w14:paraId="38C06EC5">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三、单位支出总体情况说明 </w:t>
      </w:r>
    </w:p>
    <w:p w14:paraId="630D15EA">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四、财政拨款收支总体情况说明 </w:t>
      </w:r>
    </w:p>
    <w:p w14:paraId="48E95105">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五、一般公共预算支出情况说明 </w:t>
      </w:r>
    </w:p>
    <w:p w14:paraId="1D00DF1D">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六、一般公共预算基本支出情况说明 </w:t>
      </w:r>
    </w:p>
    <w:p w14:paraId="71A35DB9">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七、一般公共预算“三公”经费支出情况说明 </w:t>
      </w:r>
    </w:p>
    <w:p w14:paraId="3A6FFD3F">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八、政府性基金预算支出情况说明 </w:t>
      </w:r>
    </w:p>
    <w:p w14:paraId="0BC812BB">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九、国有资本经营预算支出情况说明 </w:t>
      </w:r>
    </w:p>
    <w:p w14:paraId="32323502">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十、政府采购预算情况说明 </w:t>
      </w:r>
    </w:p>
    <w:p w14:paraId="564AE7B3">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十一、政府购买服务预算情况说明 </w:t>
      </w:r>
    </w:p>
    <w:p w14:paraId="00398E5D">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十二、项目预算绩效目标情况说明 </w:t>
      </w:r>
    </w:p>
    <w:p w14:paraId="5C91CCFB">
      <w:pPr>
        <w:keepNext w:val="0"/>
        <w:keepLines w:val="0"/>
        <w:widowControl/>
        <w:suppressLineNumbers w:val="0"/>
        <w:ind w:firstLine="320" w:firstLineChars="100"/>
        <w:jc w:val="left"/>
      </w:pPr>
      <w:r>
        <w:rPr>
          <w:rFonts w:hint="eastAsia" w:ascii="黑体" w:hAnsi="宋体" w:eastAsia="黑体" w:cs="黑体"/>
          <w:color w:val="000000"/>
          <w:kern w:val="0"/>
          <w:sz w:val="32"/>
          <w:szCs w:val="32"/>
          <w:lang w:val="en-US" w:eastAsia="zh-CN" w:bidi="ar"/>
        </w:rPr>
        <w:t xml:space="preserve">十三、2026年单位预算其他重要事项情况说明 </w:t>
      </w:r>
    </w:p>
    <w:p w14:paraId="4081D3C4">
      <w:pPr>
        <w:keepNext w:val="0"/>
        <w:keepLines w:val="0"/>
        <w:widowControl/>
        <w:suppressLineNumbers w:val="0"/>
        <w:jc w:val="left"/>
      </w:pPr>
      <w:r>
        <w:rPr>
          <w:rFonts w:hint="eastAsia" w:ascii="黑体" w:hAnsi="宋体" w:eastAsia="黑体" w:cs="黑体"/>
          <w:b/>
          <w:bCs/>
          <w:color w:val="000000"/>
          <w:kern w:val="0"/>
          <w:sz w:val="32"/>
          <w:szCs w:val="32"/>
          <w:lang w:val="en-US" w:eastAsia="zh-CN" w:bidi="ar"/>
        </w:rPr>
        <w:t xml:space="preserve">第三部分 302009柳州市土地交易储备中心2026年单位预 </w:t>
      </w:r>
    </w:p>
    <w:p w14:paraId="61C54145">
      <w:pPr>
        <w:keepNext w:val="0"/>
        <w:keepLines w:val="0"/>
        <w:widowControl/>
        <w:suppressLineNumbers w:val="0"/>
        <w:jc w:val="left"/>
      </w:pPr>
      <w:r>
        <w:rPr>
          <w:rFonts w:hint="eastAsia" w:ascii="黑体" w:hAnsi="宋体" w:eastAsia="黑体" w:cs="黑体"/>
          <w:b/>
          <w:bCs/>
          <w:color w:val="000000"/>
          <w:kern w:val="0"/>
          <w:sz w:val="32"/>
          <w:szCs w:val="32"/>
          <w:lang w:val="en-US" w:eastAsia="zh-CN" w:bidi="ar"/>
        </w:rPr>
        <w:t xml:space="preserve">算报表 </w:t>
      </w:r>
    </w:p>
    <w:p w14:paraId="2238DA99">
      <w:pPr>
        <w:keepNext w:val="0"/>
        <w:keepLines w:val="0"/>
        <w:widowControl/>
        <w:suppressLineNumbers w:val="0"/>
        <w:jc w:val="left"/>
      </w:pPr>
      <w:r>
        <w:rPr>
          <w:rFonts w:hint="eastAsia" w:ascii="黑体" w:hAnsi="宋体" w:eastAsia="黑体" w:cs="黑体"/>
          <w:b/>
          <w:bCs/>
          <w:color w:val="000000"/>
          <w:kern w:val="0"/>
          <w:sz w:val="32"/>
          <w:szCs w:val="32"/>
          <w:lang w:val="en-US" w:eastAsia="zh-CN" w:bidi="ar"/>
        </w:rPr>
        <w:t xml:space="preserve">第四部分 名词解释 </w:t>
      </w:r>
    </w:p>
    <w:p w14:paraId="593ECF4C">
      <w:pPr>
        <w:keepNext w:val="0"/>
        <w:keepLines w:val="0"/>
        <w:widowControl/>
        <w:suppressLineNumbers w:val="0"/>
        <w:jc w:val="left"/>
        <w:rPr>
          <w:rFonts w:hint="eastAsia" w:ascii="黑体" w:hAnsi="宋体" w:eastAsia="黑体" w:cs="黑体"/>
          <w:b/>
          <w:bCs/>
          <w:color w:val="000000"/>
          <w:kern w:val="0"/>
          <w:sz w:val="32"/>
          <w:szCs w:val="32"/>
          <w:lang w:val="en-US" w:eastAsia="zh-CN" w:bidi="ar"/>
        </w:rPr>
      </w:pPr>
      <w:r>
        <w:rPr>
          <w:rFonts w:hint="eastAsia" w:ascii="黑体" w:hAnsi="宋体" w:eastAsia="黑体" w:cs="黑体"/>
          <w:b/>
          <w:bCs/>
          <w:color w:val="000000"/>
          <w:kern w:val="0"/>
          <w:sz w:val="32"/>
          <w:szCs w:val="32"/>
          <w:lang w:val="en-US" w:eastAsia="zh-CN" w:bidi="ar"/>
        </w:rPr>
        <w:t>第五部分 附件</w:t>
      </w:r>
    </w:p>
    <w:p w14:paraId="145FE961">
      <w:pPr>
        <w:keepNext w:val="0"/>
        <w:keepLines w:val="0"/>
        <w:widowControl/>
        <w:suppressLineNumbers w:val="0"/>
        <w:jc w:val="center"/>
        <w:rPr>
          <w:rFonts w:hint="eastAsia" w:ascii="黑体" w:hAnsi="宋体" w:eastAsia="黑体" w:cs="黑体"/>
          <w:color w:val="000000"/>
          <w:kern w:val="0"/>
          <w:sz w:val="44"/>
          <w:szCs w:val="44"/>
          <w:lang w:val="en-US" w:eastAsia="zh-CN" w:bidi="ar"/>
        </w:rPr>
        <w:sectPr>
          <w:headerReference r:id="rId3" w:type="default"/>
          <w:footerReference r:id="rId4" w:type="default"/>
          <w:pgSz w:w="11906" w:h="16838"/>
          <w:pgMar w:top="1213" w:right="1800" w:bottom="1327" w:left="1800" w:header="851" w:footer="992" w:gutter="0"/>
          <w:cols w:space="425" w:num="1"/>
          <w:docGrid w:type="lines" w:linePitch="312" w:charSpace="0"/>
        </w:sectPr>
      </w:pPr>
    </w:p>
    <w:p w14:paraId="5B5F3ADA">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第一部分 302009柳州市土地交易储备中心</w:t>
      </w:r>
    </w:p>
    <w:p w14:paraId="3DB12F37">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概况</w:t>
      </w:r>
    </w:p>
    <w:p w14:paraId="47444E71">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一、主要职责 </w:t>
      </w:r>
    </w:p>
    <w:p w14:paraId="1E74D521">
      <w:pPr>
        <w:keepNext w:val="0"/>
        <w:keepLines w:val="0"/>
        <w:widowControl/>
        <w:suppressLineNumbers w:val="0"/>
        <w:ind w:firstLine="600" w:firstLineChars="200"/>
        <w:jc w:val="left"/>
      </w:pPr>
      <w:r>
        <w:rPr>
          <w:rFonts w:ascii="仿宋" w:hAnsi="仿宋" w:eastAsia="仿宋" w:cs="仿宋"/>
          <w:color w:val="000000"/>
          <w:kern w:val="0"/>
          <w:sz w:val="30"/>
          <w:szCs w:val="30"/>
          <w:lang w:val="en-US" w:eastAsia="zh-CN" w:bidi="ar"/>
        </w:rPr>
        <w:t xml:space="preserve">1.承担本辖区内土地储备工作。负责编制全市土地收储及一 </w:t>
      </w:r>
    </w:p>
    <w:p w14:paraId="44BFDD46">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级整理计划，统计、汇总全市土地一级整理进度情况。 </w:t>
      </w:r>
    </w:p>
    <w:p w14:paraId="7F3A05A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2.负责实施土地储备项目。负责农用地转用前期工作，依法 </w:t>
      </w:r>
    </w:p>
    <w:p w14:paraId="2FFD48DD">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对经批准区域范围内的土地实施收回、收购、优先购买及其它方 </w:t>
      </w:r>
    </w:p>
    <w:p w14:paraId="5B46539A">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式收储，协助实施征地拆迁安置工作。负责储备土地供应前期工 </w:t>
      </w:r>
    </w:p>
    <w:p w14:paraId="3374803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作，组织对储备土地实施必要的前期开发。在储备土地未供应 </w:t>
      </w:r>
    </w:p>
    <w:p w14:paraId="09B6867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前，负责对储备土地及地上建筑物进行管护或临时利用。 </w:t>
      </w:r>
    </w:p>
    <w:p w14:paraId="7874F5AA">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3.负责督促安置房建设和交付工作，负责对全市安置房源进 </w:t>
      </w:r>
    </w:p>
    <w:p w14:paraId="7C4CD87F">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行统筹调配。负责安置房建设工程的代建管理。 </w:t>
      </w:r>
    </w:p>
    <w:p w14:paraId="63893DF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4.负责建立和管理土地交易市场。负责全市土地使用权交易 </w:t>
      </w:r>
    </w:p>
    <w:p w14:paraId="141ACD6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的具体事务，提供交易场所、咨询和交易服务，协助受让人办理 </w:t>
      </w:r>
    </w:p>
    <w:p w14:paraId="07C30F2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不动产权登记。负责发布市场交易信息和土地价格信息，更新和 </w:t>
      </w:r>
    </w:p>
    <w:p w14:paraId="14A3666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维护土地市场动态监测监管系统。负责全市土地招商推介工作。 </w:t>
      </w:r>
    </w:p>
    <w:p w14:paraId="43334B1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组织开展全市补充耕地指标交易工作。 </w:t>
      </w:r>
    </w:p>
    <w:p w14:paraId="73E6D78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5.承办全市探矿权和采矿权交易的具体事务，负责提供交易 </w:t>
      </w:r>
    </w:p>
    <w:p w14:paraId="1E353ED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场所、咨询和交易服务，发布探矿权和采矿权交易信息。 </w:t>
      </w:r>
    </w:p>
    <w:p w14:paraId="7E2D0B2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6.负责筹集土地储备资金，通过土地储备项目运作确保政府 </w:t>
      </w:r>
    </w:p>
    <w:p w14:paraId="1736F24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的土地出让收益。 </w:t>
      </w:r>
    </w:p>
    <w:p w14:paraId="157D29BA">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7.完成市委和市政府交办的其他任务。 </w:t>
      </w:r>
    </w:p>
    <w:p w14:paraId="1623F318">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二、机构设置情况 </w:t>
      </w:r>
    </w:p>
    <w:p w14:paraId="0F6B2614">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柳州市土地交易储备中心是市政府直属副处级公益一类全额拨款参照公务员管理事业单位，加挂柳州市矿业权交易中心牌 </w:t>
      </w:r>
    </w:p>
    <w:p w14:paraId="4FACEA2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子，由市自然资源和规划局代管。 </w:t>
      </w:r>
    </w:p>
    <w:p w14:paraId="007EF34A">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中心内设6个科室，分别为：综合管理科，计划与资金管理 </w:t>
      </w:r>
    </w:p>
    <w:p w14:paraId="181C60C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科，土地开发储备科，矿业权交易管理科，土地交易市场管理科、储备资产管理科。 </w:t>
      </w:r>
    </w:p>
    <w:p w14:paraId="2B45B5C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现有正式编制20人，实际在编人数17人，退休5人，聘用人员控制数24人，实际聘用人员23人。 </w:t>
      </w:r>
    </w:p>
    <w:p w14:paraId="1FC4A12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028ECE12">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7EA5416D">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31889F9">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6F55E53B">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1FF57D45">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C1E17B0">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503809C1">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7E01C144">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E56AEA3">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A4905EE">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5849B1A">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62FE747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7F2A1A76">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63FAC3FA">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第二部分 302009柳州市土地交易储备中心</w:t>
      </w:r>
    </w:p>
    <w:p w14:paraId="31E9B42D">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2026年单位预算情况说明</w:t>
      </w:r>
    </w:p>
    <w:p w14:paraId="1B1FA428">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一、单位收支总体情况说明 </w:t>
      </w:r>
    </w:p>
    <w:p w14:paraId="32F8FDD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单位收支总预算761.35万元，同比增加40.90万元，同比增长5.68%。收入包括：一般公共预算拨款761.35万元。支出包括：社会保障和就业支出58.82万元、卫生健康支出31.22万元、自然资源海洋气象等支出643.49万元、住房保障支27.82万元。 </w:t>
      </w:r>
    </w:p>
    <w:p w14:paraId="6542E68A">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二、单位收入总体情况说明 </w:t>
      </w:r>
    </w:p>
    <w:p w14:paraId="3CFF8347">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2026年单位收入总预算761.35万元，同比增加40.90万元，同比增长5.68%。其中： </w:t>
      </w:r>
    </w:p>
    <w:p w14:paraId="59135E3C">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一般公共预算拨款收入761.35万元，同比增加40.90万元，同比增长5.68%。 </w:t>
      </w:r>
    </w:p>
    <w:p w14:paraId="7B25562A">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2026年收入预算总体增加的主要原因：一是基本支出增加 </w:t>
      </w:r>
    </w:p>
    <w:p w14:paraId="6FD47C3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53.98万元，主要为新调入2名在编人员；二是项目支出同比减少13.08万元。主要为新增购买办公设备支出，减少土地推介的宣传视频制作费用和土地公开交易前置调查费，总体减少13.08万元。 </w:t>
      </w:r>
    </w:p>
    <w:p w14:paraId="53C34F43">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三、单位支出总体情况说明 </w:t>
      </w:r>
    </w:p>
    <w:p w14:paraId="15840346">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2026年单位支出总预算761.35万元，基本支出预算541.92万元，占支出总预算71.18%，同比增加53.98万元，同比增长 </w:t>
      </w:r>
    </w:p>
    <w:p w14:paraId="60C36E6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11.06%。项目支出预算219.43万元，占支出总预算28.82%，同比减少13.08万元，同比下降5.63%。 </w:t>
      </w:r>
    </w:p>
    <w:p w14:paraId="22648AB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（一）按支出功能分类科目划分，共分为4类，其中： </w:t>
      </w:r>
    </w:p>
    <w:p w14:paraId="12228B51">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1.社会保障和就业支出58.82万元，占支出总预算7.73%，同比增加8.80万元，同比增长17.59%，增加的主要原因是：人员调入以及社保缴费基数调整。 </w:t>
      </w:r>
    </w:p>
    <w:p w14:paraId="336307DD">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2.卫生健康支出31.22万元，占支出总预算4.10%，同比增加5.13万元，同比增长19.66%，增加的主要原因是：人员调入以及社保缴费基数调整。 </w:t>
      </w:r>
    </w:p>
    <w:p w14:paraId="1EEA9A0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3.自然资源海洋气象等支出643.49万元，占支出总预算</w:t>
      </w:r>
    </w:p>
    <w:p w14:paraId="7D2B2DF1">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84.52%，同比增加22.25万元，同比增长3.58%，增加的主要原因是：一是人员调入，在职人员和聘用人员工资调整；二是新增购买办公设备支出；三是厉行节约，减少宣传视频制作费用和土地公开交易前置调查费；总体增加额度大于减少额度。 </w:t>
      </w:r>
    </w:p>
    <w:p w14:paraId="4D67600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4.住房保障支出27.82万元，占支出总预算3.65%，同比增加4.71万元，同比增长20.38%，增加的主要原因是：人员调入，住房公积金缴费基数调整。 </w:t>
      </w:r>
    </w:p>
    <w:p w14:paraId="3AF9957E">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（二）按支出结构分类划分，分为基本支出预算和项目支出 </w:t>
      </w:r>
    </w:p>
    <w:p w14:paraId="39101F8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预算。 </w:t>
      </w:r>
    </w:p>
    <w:p w14:paraId="183CFC03">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1.基本支出预算541.92万元，占支出总预算71.18%，同比增加53.98万元，同比增长11.06%。 </w:t>
      </w:r>
    </w:p>
    <w:p w14:paraId="5C2B321D">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2.项目支出预算219.43万元，占支出总预算28.82%，同比减少13.08万元，同比下降5.63%。 </w:t>
      </w:r>
    </w:p>
    <w:p w14:paraId="7F856A93">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2026年支出预算总体增加的主要原因：一是基本支出增加 </w:t>
      </w:r>
    </w:p>
    <w:p w14:paraId="7363A51F">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53.98万元，主要为新调入2名在编人员；二是项目支出同比减少13.08万元。主要为新增购买办公设备支出，减少土地推介的宣传视频制作费用和土地公开交易前置调查费，总体减少13.08万元。 </w:t>
      </w:r>
    </w:p>
    <w:p w14:paraId="7F52F6A3">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四、财政拨款收支总体情况说明 </w:t>
      </w:r>
    </w:p>
    <w:p w14:paraId="0937C487">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2026年单位财政拨款收支总预算761.35万元，收入包括：一般公共预算761.35万元；支出包括：社会保障和就业支出58.82万元、卫生健康支出31.22万元、自然资源海洋气象等支出643.49万元、住房保障支出27.82万元。 </w:t>
      </w:r>
    </w:p>
    <w:p w14:paraId="79ED0410">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五、一般公共预算支出情况说明 </w:t>
      </w:r>
    </w:p>
    <w:p w14:paraId="2A0532C6">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2026年单位一般公共预算拨款支出761.35万元，其中：基本支出541.92万元，项目支出219.43万元。具体支出预算如下： </w:t>
      </w:r>
    </w:p>
    <w:p w14:paraId="53C2564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（一）社会保障和就业支出（类）行政事业单位养老支出（款）行政单位离退休（项）支出8.66万元，全部为基本支出。 </w:t>
      </w:r>
    </w:p>
    <w:p w14:paraId="228F158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主要用于：退休人员生活补助支出，物业补贴及春节慰问费等支 </w:t>
      </w:r>
    </w:p>
    <w:p w14:paraId="3FC9EC01">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出。 </w:t>
      </w:r>
    </w:p>
    <w:p w14:paraId="0BE8A3A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（二）社会保障和就业支出（类）行政事业单位养老支出 </w:t>
      </w:r>
    </w:p>
    <w:p w14:paraId="69FAC77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（款）机关事业单位基本养老保险缴费支出（项）支出33.44万 </w:t>
      </w:r>
    </w:p>
    <w:p w14:paraId="14AFB321">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元，全部为基本支出。主要用于：行政事业单位基本养老保险缴 </w:t>
      </w:r>
    </w:p>
    <w:p w14:paraId="354C6FF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费支出。 </w:t>
      </w:r>
    </w:p>
    <w:p w14:paraId="4916880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（三）社会保障和就业支出（类）行政事业单位养老支出 </w:t>
      </w:r>
    </w:p>
    <w:p w14:paraId="5D2E6781">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（款）机关事业单位职业年金缴费支出（项）支出16.72万元，全部为基本支出。主要用于：行政事业单位职业年金缴费支出。 </w:t>
      </w:r>
    </w:p>
    <w:p w14:paraId="3368B5A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（四）卫生健康支出（类）行政事业单位医疗（款）行政单 </w:t>
      </w:r>
    </w:p>
    <w:p w14:paraId="2A169BC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位医疗（项）支出16.51万元，全部为基本支出。主要用于：行政事业单位职工基本医疗缴费支出。 </w:t>
      </w:r>
    </w:p>
    <w:p w14:paraId="761932E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（五）卫生健康支出（类）行政事业单位医疗（款）公务员 </w:t>
      </w:r>
    </w:p>
    <w:p w14:paraId="4B4CCE27">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医疗补助（项）支出14.71万元，全部为基本支出。主要用于：公务员医疗补助支出。</w:t>
      </w:r>
    </w:p>
    <w:p w14:paraId="27967A85">
      <w:pPr>
        <w:keepNext w:val="0"/>
        <w:keepLines w:val="0"/>
        <w:widowControl/>
        <w:suppressLineNumbers w:val="0"/>
        <w:ind w:left="0" w:leftChars="0" w:firstLine="416" w:firstLineChars="139"/>
        <w:jc w:val="left"/>
      </w:pPr>
      <w:r>
        <w:rPr>
          <w:rFonts w:hint="eastAsia" w:ascii="仿宋" w:hAnsi="仿宋" w:eastAsia="仿宋" w:cs="仿宋"/>
          <w:color w:val="000000"/>
          <w:kern w:val="0"/>
          <w:sz w:val="30"/>
          <w:szCs w:val="30"/>
          <w:lang w:val="en-US" w:eastAsia="zh-CN" w:bidi="ar"/>
        </w:rPr>
        <w:t xml:space="preserve">（六）自然资源海洋气象等支出（类）自然资源事务（款） </w:t>
      </w:r>
    </w:p>
    <w:p w14:paraId="5F29EBE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行政运行（项）支出424.06万元，全部为基本支出。主要用于： </w:t>
      </w:r>
    </w:p>
    <w:p w14:paraId="7296690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在职人员工资及公用经费支出、聘员人员经费。 </w:t>
      </w:r>
    </w:p>
    <w:p w14:paraId="284E460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（七）自然资源海洋气象等支出（类）自然资源事务（款） </w:t>
      </w:r>
    </w:p>
    <w:p w14:paraId="397C6AA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土地资源储备支出（项）支出219.43万元，全部为项目支出。主要用于：办公楼运转费用、办公设备购置支出、土地推介及交易业务费用等项目。 </w:t>
      </w:r>
    </w:p>
    <w:p w14:paraId="080BA6F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（八）住房保障支出（类）住房改革支出（款）住房公积金 </w:t>
      </w:r>
    </w:p>
    <w:p w14:paraId="4F70C4DB">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（项）支出27.82万元，全部为基本支出。主要用于：住房公积金支出。 </w:t>
      </w:r>
    </w:p>
    <w:p w14:paraId="6BD09C2B">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六、一般公共预算基本支出情况说明 </w:t>
      </w:r>
    </w:p>
    <w:p w14:paraId="62EC4193">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2026年单位一般公共预算基本支出541.92万元，其中： </w:t>
      </w:r>
    </w:p>
    <w:p w14:paraId="78B6B72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（一）人员经费490.03万元，主要包括：基本工资、津贴补 </w:t>
      </w:r>
    </w:p>
    <w:p w14:paraId="6F56F00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贴、奖金、机关事业单位基本养老保险缴费、职业年金缴费、职 </w:t>
      </w:r>
    </w:p>
    <w:p w14:paraId="4F5A14DF">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工基本医疗保险缴费、公务员医疗补助缴费、其他社会保障缴 </w:t>
      </w:r>
    </w:p>
    <w:p w14:paraId="0506894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费、住房公积金、其他工资福利支出、退休费、医疗费补助、其 </w:t>
      </w:r>
    </w:p>
    <w:p w14:paraId="5F87B766">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他对个人和家庭的补助。 </w:t>
      </w:r>
    </w:p>
    <w:p w14:paraId="0FAB702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（二）公用经费51.89万元，主要包括：办公费、印刷费、水费、电费、邮电费、物业管理费、差旅费、维修（护）费、会议费、培训费、公务接待费、工会经费、其他交通费用、其他商品和服务支出。 </w:t>
      </w:r>
    </w:p>
    <w:p w14:paraId="54E87A1D">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七、一般公共预算“三公”经费支出情况说明 </w:t>
      </w:r>
    </w:p>
    <w:p w14:paraId="24550339">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2026年单位一般公共预算安排的“三公”经费支出预算0.54 </w:t>
      </w:r>
    </w:p>
    <w:p w14:paraId="4DB2705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万元，比2025年预算0.48万元，同比增加0.06万元，同比增长12.50%。其中： </w:t>
      </w:r>
    </w:p>
    <w:p w14:paraId="4562FA75">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（一）因公出国（境）经费2026年预算0.00万元，与上年持平。 </w:t>
      </w:r>
    </w:p>
    <w:p w14:paraId="197FE411">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（二）公务接待费2026年预算0.54万元，同比增加0.06万元，同比增长12.50%，增加的主要原因是：人员调入2人，相关经费增加。 </w:t>
      </w:r>
    </w:p>
    <w:p w14:paraId="3153E89E">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（三）公务用车购置及运行维护费2026年预算0.00万元，与上年持平。其中： </w:t>
      </w:r>
    </w:p>
    <w:p w14:paraId="10EC7DCB">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1.公务用车购置费2026年预算0.00万元，与上年持平。 </w:t>
      </w:r>
    </w:p>
    <w:p w14:paraId="2877BD00">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2.公务用车运行维护费2026年预算0.00万元，与上年持平。 </w:t>
      </w:r>
    </w:p>
    <w:p w14:paraId="7D7E6C14">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八、政府性基金预算支出情况说明 </w:t>
      </w:r>
    </w:p>
    <w:p w14:paraId="684138C7">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2026年我单位无政府性基金预算支出安排。 </w:t>
      </w:r>
    </w:p>
    <w:p w14:paraId="2593F0AB">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九、国有资本经营预算支出情况说明 </w:t>
      </w:r>
    </w:p>
    <w:p w14:paraId="5B8C95C6">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2026年我单位无国有资本经营预算支出安排。 </w:t>
      </w:r>
    </w:p>
    <w:p w14:paraId="4543DDC1">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十、政府采购预算情况说明 </w:t>
      </w:r>
    </w:p>
    <w:p w14:paraId="42797455">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政府采购预算28.00万元，同比减少28.28万元，同比下降50.25%。其中：政府集中采购预算28.00万元，占政府采购预算100.00%，同比减少28.28万元，同比下降50.25%；分散采购预算0.00万元，占政府采购预算0.00%，与上年持平。 </w:t>
      </w:r>
    </w:p>
    <w:p w14:paraId="49F17E0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    按政府采购项目类型划分，其中：货物类采购预算20.20万 </w:t>
      </w:r>
    </w:p>
    <w:p w14:paraId="1B89E35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元，工程类采购预算0.00万元，服务类采购预算7.80万元。 </w:t>
      </w:r>
    </w:p>
    <w:p w14:paraId="1353231E">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按政府采购资金来源划分，其中：一般公共预算安排采购支 </w:t>
      </w:r>
    </w:p>
    <w:p w14:paraId="5C8F3E8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出预算28.00万元。 </w:t>
      </w:r>
    </w:p>
    <w:p w14:paraId="0446D61F">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十一、政府购买服务预算情况说明 </w:t>
      </w:r>
    </w:p>
    <w:p w14:paraId="7A05AF74">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2026年我单位无政府购买服务预算。 </w:t>
      </w:r>
    </w:p>
    <w:p w14:paraId="18FC5BFD">
      <w:pPr>
        <w:keepNext w:val="0"/>
        <w:keepLines w:val="0"/>
        <w:widowControl/>
        <w:suppressLineNumbers w:val="0"/>
        <w:ind w:firstLine="640" w:firstLineChars="200"/>
        <w:jc w:val="left"/>
      </w:pPr>
      <w:r>
        <w:rPr>
          <w:rFonts w:hint="eastAsia" w:ascii="黑体" w:hAnsi="宋体" w:eastAsia="黑体" w:cs="黑体"/>
          <w:color w:val="000000"/>
          <w:kern w:val="0"/>
          <w:sz w:val="32"/>
          <w:szCs w:val="32"/>
          <w:lang w:val="en-US" w:eastAsia="zh-CN" w:bidi="ar"/>
        </w:rPr>
        <w:t xml:space="preserve">十二、项目预算绩效目标情况说明 </w:t>
      </w:r>
    </w:p>
    <w:p w14:paraId="61CEE57A">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（一）我单位2026年所有项目支出全面实施绩效目标管理， </w:t>
      </w:r>
    </w:p>
    <w:p w14:paraId="215EE016">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涉及柳州市本级项目3个，预算资金219.43万元。绩效目标情况详见表12（敏感涉密项目除外）。 </w:t>
      </w:r>
    </w:p>
    <w:p w14:paraId="0E5EE306">
      <w:pPr>
        <w:keepNext w:val="0"/>
        <w:keepLines w:val="0"/>
        <w:widowControl/>
        <w:suppressLineNumbers w:val="0"/>
        <w:ind w:left="0" w:leftChars="0"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（二）重点项目预算绩效目标说明。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413"/>
        <w:gridCol w:w="3486"/>
      </w:tblGrid>
      <w:tr w14:paraId="7035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623" w:type="dxa"/>
            <w:vAlign w:val="center"/>
          </w:tcPr>
          <w:p w14:paraId="4C8DF08D">
            <w:pPr>
              <w:keepNext w:val="0"/>
              <w:keepLines w:val="0"/>
              <w:widowControl/>
              <w:suppressLineNumbers w:val="0"/>
              <w:jc w:val="center"/>
              <w:rPr>
                <w:rFonts w:hint="eastAsia" w:ascii="仿宋" w:hAnsi="仿宋" w:eastAsia="仿宋" w:cs="仿宋"/>
                <w:color w:val="000000"/>
                <w:kern w:val="0"/>
                <w:sz w:val="30"/>
                <w:szCs w:val="30"/>
                <w:vertAlign w:val="baseline"/>
                <w:lang w:val="en-US" w:eastAsia="zh-CN" w:bidi="ar"/>
              </w:rPr>
            </w:pPr>
            <w:r>
              <w:rPr>
                <w:rFonts w:hint="eastAsia" w:ascii="宋体" w:hAnsi="宋体" w:eastAsia="宋体" w:cs="宋体"/>
                <w:b/>
                <w:bCs/>
                <w:color w:val="000000"/>
                <w:kern w:val="0"/>
                <w:sz w:val="20"/>
                <w:szCs w:val="20"/>
                <w:lang w:val="en-US" w:eastAsia="zh-CN" w:bidi="ar"/>
              </w:rPr>
              <w:t>项目名称</w:t>
            </w:r>
          </w:p>
        </w:tc>
        <w:tc>
          <w:tcPr>
            <w:tcW w:w="2413" w:type="dxa"/>
            <w:vAlign w:val="center"/>
          </w:tcPr>
          <w:p w14:paraId="31999180">
            <w:pPr>
              <w:keepNext w:val="0"/>
              <w:keepLines w:val="0"/>
              <w:widowControl/>
              <w:suppressLineNumbers w:val="0"/>
              <w:jc w:val="center"/>
              <w:rPr>
                <w:rFonts w:hint="eastAsia" w:ascii="仿宋" w:hAnsi="仿宋" w:eastAsia="仿宋" w:cs="仿宋"/>
                <w:color w:val="000000"/>
                <w:kern w:val="0"/>
                <w:sz w:val="30"/>
                <w:szCs w:val="30"/>
                <w:vertAlign w:val="baseline"/>
                <w:lang w:val="en-US" w:eastAsia="zh-CN" w:bidi="ar"/>
              </w:rPr>
            </w:pPr>
            <w:r>
              <w:rPr>
                <w:rFonts w:hint="eastAsia" w:ascii="宋体" w:hAnsi="宋体" w:eastAsia="宋体" w:cs="宋体"/>
                <w:b/>
                <w:bCs/>
                <w:color w:val="000000"/>
                <w:kern w:val="0"/>
                <w:sz w:val="20"/>
                <w:szCs w:val="20"/>
                <w:lang w:val="en-US" w:eastAsia="zh-CN" w:bidi="ar"/>
              </w:rPr>
              <w:t>预算数（单位：万元）</w:t>
            </w:r>
          </w:p>
        </w:tc>
        <w:tc>
          <w:tcPr>
            <w:tcW w:w="3486" w:type="dxa"/>
            <w:vAlign w:val="center"/>
          </w:tcPr>
          <w:p w14:paraId="4E336E77">
            <w:pPr>
              <w:keepNext w:val="0"/>
              <w:keepLines w:val="0"/>
              <w:widowControl/>
              <w:suppressLineNumbers w:val="0"/>
              <w:jc w:val="center"/>
              <w:rPr>
                <w:rFonts w:hint="eastAsia" w:ascii="仿宋" w:hAnsi="仿宋" w:eastAsia="仿宋" w:cs="仿宋"/>
                <w:color w:val="000000"/>
                <w:kern w:val="0"/>
                <w:sz w:val="30"/>
                <w:szCs w:val="30"/>
                <w:vertAlign w:val="baseline"/>
                <w:lang w:val="en-US" w:eastAsia="zh-CN" w:bidi="ar"/>
              </w:rPr>
            </w:pPr>
            <w:r>
              <w:rPr>
                <w:rFonts w:hint="eastAsia" w:ascii="宋体" w:hAnsi="宋体" w:eastAsia="宋体" w:cs="宋体"/>
                <w:b/>
                <w:bCs/>
                <w:color w:val="000000"/>
                <w:kern w:val="0"/>
                <w:sz w:val="20"/>
                <w:szCs w:val="20"/>
                <w:lang w:val="en-US" w:eastAsia="zh-CN" w:bidi="ar"/>
              </w:rPr>
              <w:t>绩效目标</w:t>
            </w:r>
          </w:p>
        </w:tc>
      </w:tr>
      <w:tr w14:paraId="3D91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623" w:type="dxa"/>
            <w:vAlign w:val="center"/>
          </w:tcPr>
          <w:p w14:paraId="3CA035D0">
            <w:pPr>
              <w:keepNext w:val="0"/>
              <w:keepLines w:val="0"/>
              <w:widowControl/>
              <w:suppressLineNumbers w:val="0"/>
              <w:jc w:val="center"/>
              <w:rPr>
                <w:rFonts w:hint="eastAsia" w:ascii="仿宋" w:hAnsi="仿宋" w:eastAsia="仿宋" w:cs="仿宋"/>
                <w:color w:val="000000"/>
                <w:kern w:val="0"/>
                <w:sz w:val="30"/>
                <w:szCs w:val="30"/>
                <w:vertAlign w:val="baseline"/>
                <w:lang w:val="en-US" w:eastAsia="zh-CN" w:bidi="ar"/>
              </w:rPr>
            </w:pPr>
            <w:r>
              <w:rPr>
                <w:rFonts w:hint="eastAsia" w:ascii="宋体" w:hAnsi="宋体" w:eastAsia="宋体" w:cs="宋体"/>
                <w:color w:val="000000"/>
                <w:kern w:val="0"/>
                <w:sz w:val="20"/>
                <w:szCs w:val="20"/>
                <w:lang w:val="en-US" w:eastAsia="zh-CN" w:bidi="ar"/>
              </w:rPr>
              <w:t>土地推介及交易业务费用</w:t>
            </w:r>
          </w:p>
        </w:tc>
        <w:tc>
          <w:tcPr>
            <w:tcW w:w="2413" w:type="dxa"/>
            <w:vAlign w:val="center"/>
          </w:tcPr>
          <w:p w14:paraId="539E9272">
            <w:pPr>
              <w:keepNext w:val="0"/>
              <w:keepLines w:val="0"/>
              <w:widowControl/>
              <w:suppressLineNumbers w:val="0"/>
              <w:jc w:val="center"/>
              <w:rPr>
                <w:rFonts w:hint="eastAsia" w:ascii="仿宋" w:hAnsi="仿宋" w:eastAsia="仿宋" w:cs="仿宋"/>
                <w:color w:val="000000"/>
                <w:kern w:val="0"/>
                <w:sz w:val="30"/>
                <w:szCs w:val="30"/>
                <w:vertAlign w:val="baseline"/>
                <w:lang w:val="en-US" w:eastAsia="zh-CN" w:bidi="ar"/>
              </w:rPr>
            </w:pPr>
            <w:r>
              <w:rPr>
                <w:rFonts w:hint="eastAsia" w:ascii="宋体" w:hAnsi="宋体" w:eastAsia="宋体" w:cs="宋体"/>
                <w:color w:val="000000"/>
                <w:kern w:val="0"/>
                <w:sz w:val="20"/>
                <w:szCs w:val="20"/>
                <w:lang w:val="en-US" w:eastAsia="zh-CN" w:bidi="ar"/>
              </w:rPr>
              <w:t>133.60</w:t>
            </w:r>
          </w:p>
        </w:tc>
        <w:tc>
          <w:tcPr>
            <w:tcW w:w="3486" w:type="dxa"/>
            <w:vAlign w:val="center"/>
          </w:tcPr>
          <w:p w14:paraId="6275B09F">
            <w:pPr>
              <w:keepNext w:val="0"/>
              <w:keepLines w:val="0"/>
              <w:widowControl/>
              <w:suppressLineNumbers w:val="0"/>
              <w:jc w:val="both"/>
            </w:pPr>
            <w:r>
              <w:rPr>
                <w:rFonts w:hint="eastAsia" w:ascii="宋体" w:hAnsi="宋体" w:eastAsia="宋体" w:cs="宋体"/>
                <w:color w:val="000000"/>
                <w:kern w:val="0"/>
                <w:sz w:val="20"/>
                <w:szCs w:val="20"/>
                <w:lang w:val="en-US" w:eastAsia="zh-CN" w:bidi="ar"/>
              </w:rPr>
              <w:t>拍摄宣传视频，完成后在微信公众号、官网公布以及专场土地推介会上播放，让房企能够直观了解计划供应土地的现状情况；参加城市土地展，向域外房企介绍我市基本情况以及年内计划供应土地的基本情况；举办专场土地推介会，面对面向房企介绍计划供应的土地的基本情况，并解答房企的疑问，增进沟通了解。</w:t>
            </w:r>
          </w:p>
          <w:p w14:paraId="67F5D6A7">
            <w:pPr>
              <w:keepNext w:val="0"/>
              <w:keepLines w:val="0"/>
              <w:widowControl/>
              <w:suppressLineNumbers w:val="0"/>
              <w:jc w:val="both"/>
              <w:rPr>
                <w:rFonts w:hint="eastAsia" w:ascii="仿宋" w:hAnsi="仿宋" w:eastAsia="仿宋" w:cs="仿宋"/>
                <w:color w:val="000000"/>
                <w:kern w:val="0"/>
                <w:sz w:val="30"/>
                <w:szCs w:val="30"/>
                <w:vertAlign w:val="baseline"/>
                <w:lang w:val="en-US" w:eastAsia="zh-CN" w:bidi="ar"/>
              </w:rPr>
            </w:pPr>
          </w:p>
        </w:tc>
      </w:tr>
    </w:tbl>
    <w:p w14:paraId="37358874">
      <w:pPr>
        <w:keepNext w:val="0"/>
        <w:keepLines w:val="0"/>
        <w:widowControl/>
        <w:suppressLineNumbers w:val="0"/>
        <w:ind w:left="0" w:leftChars="0" w:firstLine="600" w:firstLineChars="200"/>
        <w:jc w:val="left"/>
      </w:pPr>
      <w:r>
        <w:rPr>
          <w:rFonts w:hint="eastAsia" w:ascii="仿宋" w:hAnsi="仿宋" w:eastAsia="仿宋" w:cs="仿宋"/>
          <w:color w:val="000000"/>
          <w:kern w:val="0"/>
          <w:sz w:val="30"/>
          <w:szCs w:val="30"/>
          <w:lang w:val="en-US" w:eastAsia="zh-CN" w:bidi="ar"/>
        </w:rPr>
        <w:t xml:space="preserve"> </w:t>
      </w:r>
    </w:p>
    <w:p w14:paraId="6C465A06">
      <w:pPr>
        <w:keepNext w:val="0"/>
        <w:keepLines w:val="0"/>
        <w:widowControl/>
        <w:suppressLineNumbers w:val="0"/>
        <w:jc w:val="left"/>
      </w:pPr>
      <w:r>
        <w:rPr>
          <w:rFonts w:hint="eastAsia" w:ascii="宋体" w:hAnsi="宋体" w:eastAsia="宋体" w:cs="宋体"/>
          <w:b/>
          <w:bCs/>
          <w:color w:val="000000"/>
          <w:kern w:val="0"/>
          <w:sz w:val="20"/>
          <w:szCs w:val="20"/>
          <w:lang w:val="en-US" w:eastAsia="zh-CN" w:bidi="ar"/>
        </w:rPr>
        <w:t xml:space="preserve">   </w:t>
      </w:r>
      <w:r>
        <w:rPr>
          <w:rFonts w:hint="eastAsia" w:ascii="黑体" w:hAnsi="宋体" w:eastAsia="黑体" w:cs="黑体"/>
          <w:color w:val="000000"/>
          <w:kern w:val="0"/>
          <w:sz w:val="32"/>
          <w:szCs w:val="32"/>
          <w:lang w:val="en-US" w:eastAsia="zh-CN" w:bidi="ar"/>
        </w:rPr>
        <w:t xml:space="preserve">十三、2026年单位预算其他重要事项情况说明 </w:t>
      </w:r>
    </w:p>
    <w:p w14:paraId="129948C4">
      <w:pPr>
        <w:keepNext w:val="0"/>
        <w:keepLines w:val="0"/>
        <w:widowControl/>
        <w:suppressLineNumbers w:val="0"/>
        <w:ind w:firstLine="602" w:firstLineChars="200"/>
        <w:jc w:val="left"/>
      </w:pPr>
      <w:r>
        <w:rPr>
          <w:rFonts w:hint="eastAsia" w:ascii="仿宋" w:hAnsi="仿宋" w:eastAsia="仿宋" w:cs="仿宋"/>
          <w:b/>
          <w:bCs/>
          <w:color w:val="000000"/>
          <w:kern w:val="0"/>
          <w:sz w:val="30"/>
          <w:szCs w:val="30"/>
          <w:lang w:val="en-US" w:eastAsia="zh-CN" w:bidi="ar"/>
        </w:rPr>
        <w:t xml:space="preserve">（一）机关运行经费安排情况说明 </w:t>
      </w:r>
    </w:p>
    <w:p w14:paraId="1DAC32D6">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机关运行经费预算51.89万元，同比增加6.19万元，同比增长13.54%，主要用于办公及印刷费、邮电费、差旅费、会议费、福利费、日常维修费、水电费、物业管理费、其他交通费用以及其他费用。机关运行经费增加的原因是：人员调入，经费增加。 </w:t>
      </w:r>
    </w:p>
    <w:p w14:paraId="3642AFA7">
      <w:pPr>
        <w:keepNext w:val="0"/>
        <w:keepLines w:val="0"/>
        <w:widowControl/>
        <w:suppressLineNumbers w:val="0"/>
        <w:ind w:firstLine="602" w:firstLineChars="200"/>
        <w:jc w:val="left"/>
      </w:pPr>
      <w:r>
        <w:rPr>
          <w:rFonts w:hint="eastAsia" w:ascii="仿宋" w:hAnsi="仿宋" w:eastAsia="仿宋" w:cs="仿宋"/>
          <w:b/>
          <w:bCs/>
          <w:color w:val="000000"/>
          <w:kern w:val="0"/>
          <w:sz w:val="30"/>
          <w:szCs w:val="30"/>
          <w:lang w:val="en-US" w:eastAsia="zh-CN" w:bidi="ar"/>
        </w:rPr>
        <w:t xml:space="preserve">（二）国有资产占用情况说明 </w:t>
      </w:r>
    </w:p>
    <w:p w14:paraId="5B64B333">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2026年我单位无国有资产占用相关情况。 </w:t>
      </w:r>
    </w:p>
    <w:p w14:paraId="0555BEBD">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09BAA2F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FB0397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37DB6A7">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129DED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51DE6714">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E7E6FA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570DE363">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FE53C84">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DA88B02">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FCFECBA">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936A44D">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5C67540D">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82F1122">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05047EE">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第三部分 302009柳州市土地交易储备中心</w:t>
      </w:r>
    </w:p>
    <w:p w14:paraId="2A352FC3">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2026年单位预算报表</w:t>
      </w:r>
    </w:p>
    <w:p w14:paraId="3B5CFDD2">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61EC39C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一、单位收支总体情况表（表1） </w:t>
      </w:r>
    </w:p>
    <w:p w14:paraId="4056D99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二、单位收入总体情况表（表2） </w:t>
      </w:r>
    </w:p>
    <w:p w14:paraId="2D40A4B1">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三、单位支出总体情况表（表3） </w:t>
      </w:r>
    </w:p>
    <w:p w14:paraId="7E04CCB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四、财政拨款收支总体情况表（表4） </w:t>
      </w:r>
    </w:p>
    <w:p w14:paraId="2164B11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五、一般公共预算支出情况表（表5） </w:t>
      </w:r>
    </w:p>
    <w:p w14:paraId="13829EA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六、一般公共预算基本支出情况表（表6） </w:t>
      </w:r>
    </w:p>
    <w:p w14:paraId="7AFEEDF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七、财政拨款三公两费支出情况表（表7） </w:t>
      </w:r>
    </w:p>
    <w:p w14:paraId="1FEC833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八、政府性基金预算支出情况表（表8） </w:t>
      </w:r>
    </w:p>
    <w:p w14:paraId="32B595B6">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九、国有资本经营预算支出情况表（表9） </w:t>
      </w:r>
    </w:p>
    <w:p w14:paraId="1F4C7C4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十、政府采购预算表（表10） </w:t>
      </w:r>
    </w:p>
    <w:p w14:paraId="74DDD9B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十一、政府购买服务预算表（表11） </w:t>
      </w:r>
    </w:p>
    <w:p w14:paraId="6D58999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十二、项目绩效目标公开表（表12） </w:t>
      </w:r>
    </w:p>
    <w:p w14:paraId="384A7308">
      <w:pPr>
        <w:keepNext w:val="0"/>
        <w:keepLines w:val="0"/>
        <w:widowControl/>
        <w:suppressLineNumbers w:val="0"/>
        <w:jc w:val="center"/>
      </w:pPr>
      <w:r>
        <w:rPr>
          <w:rFonts w:hint="eastAsia" w:ascii="仿宋" w:hAnsi="仿宋" w:eastAsia="仿宋" w:cs="仿宋"/>
          <w:b/>
          <w:bCs/>
          <w:color w:val="000000"/>
          <w:kern w:val="0"/>
          <w:sz w:val="30"/>
          <w:szCs w:val="30"/>
          <w:lang w:val="en-US" w:eastAsia="zh-CN" w:bidi="ar"/>
        </w:rPr>
        <w:t>上述报表详见附件。</w:t>
      </w:r>
    </w:p>
    <w:p w14:paraId="28D86D7A">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6CA9B55C">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14B56BE4">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1EB031C">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8F22B6B">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117DD567">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6DF037CF">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第四部分 名词解释</w:t>
      </w:r>
    </w:p>
    <w:p w14:paraId="04B17926">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44CC45E5">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一、财政拨款收入：指市本级财政部门当年拨付的资金。 </w:t>
      </w:r>
    </w:p>
    <w:p w14:paraId="46F177AB">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二、事业收入：指事业单位开展专业业务活动及辅助活动所 </w:t>
      </w:r>
    </w:p>
    <w:p w14:paraId="440B30F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取得的收入。 </w:t>
      </w:r>
    </w:p>
    <w:p w14:paraId="5FB1B119">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三、经营收入：指事业单位在专业业务活动及其辅助活动之 </w:t>
      </w:r>
    </w:p>
    <w:p w14:paraId="67EF6C86">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外开展非独立核算经营活动取得的收入。 </w:t>
      </w:r>
    </w:p>
    <w:p w14:paraId="220E530C">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四、其他收入：指除上述“财政拨款收入”“事业收入” </w:t>
      </w:r>
    </w:p>
    <w:p w14:paraId="6F7963E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“经营收入”等以外的收入。 </w:t>
      </w:r>
    </w:p>
    <w:p w14:paraId="4F026299">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五、基本支出：指为保障机构正常运转、完成日常工作任务 </w:t>
      </w:r>
    </w:p>
    <w:p w14:paraId="4B136C6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而发生的人员支出和公用支出。 </w:t>
      </w:r>
    </w:p>
    <w:p w14:paraId="7941534B">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六、项目支出：指在基本支出之外为完成特定行政任务和事 </w:t>
      </w:r>
    </w:p>
    <w:p w14:paraId="62AD0996">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业发展目标所发生的支出。 </w:t>
      </w:r>
    </w:p>
    <w:p w14:paraId="5CAE7A24">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七、“三公”经费：纳入市本级财政预决算管理的“三公” </w:t>
      </w:r>
    </w:p>
    <w:p w14:paraId="39CA0D8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经费，是指市本级各部门用财政拨款安排的因公出国（境）费、 </w:t>
      </w:r>
    </w:p>
    <w:p w14:paraId="2DB144B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公务用车购置及运行维护费和公务接待费。其中：因公出国 （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 </w:t>
      </w:r>
    </w:p>
    <w:p w14:paraId="31C98D78">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八、机关运行经费：为保障行政单位（含参照公务员法管理 </w:t>
      </w:r>
    </w:p>
    <w:p w14:paraId="44538F5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的事业单位）运行用于购买货物和服务的各项资金，包括办公及 </w:t>
      </w:r>
    </w:p>
    <w:p w14:paraId="57BD58A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印刷费、邮电费、差旅费、会议费、日常维修费、专用材料及一 </w:t>
      </w:r>
    </w:p>
    <w:p w14:paraId="5507873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般设备购置费、办公用房水电费、办公用房取暖费、办公用房物 </w:t>
      </w:r>
    </w:p>
    <w:p w14:paraId="720F382B">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业管理费、公务用车运行维护费以及其他费用。 </w:t>
      </w:r>
    </w:p>
    <w:p w14:paraId="1B071E70">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CDF8289">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70CF585D">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B71C7BB">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E563F67">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54F5388B">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7CB3AEBC">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57755F78">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A7AFB8E">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A9CE10D">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E2CE9F3">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6EFCC4BB">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1DA69C8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156FC26A">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6F224ACF">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4F507749">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3888E126">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26D2FFC0">
      <w:pPr>
        <w:keepNext w:val="0"/>
        <w:keepLines w:val="0"/>
        <w:widowControl/>
        <w:suppressLineNumbers w:val="0"/>
        <w:jc w:val="left"/>
        <w:rPr>
          <w:rFonts w:hint="eastAsia" w:ascii="黑体" w:hAnsi="宋体" w:eastAsia="黑体" w:cs="黑体"/>
          <w:color w:val="000000"/>
          <w:kern w:val="0"/>
          <w:sz w:val="44"/>
          <w:szCs w:val="44"/>
          <w:lang w:val="en-US" w:eastAsia="zh-CN" w:bidi="ar"/>
        </w:rPr>
      </w:pPr>
    </w:p>
    <w:p w14:paraId="7360EAC8">
      <w:pPr>
        <w:keepNext w:val="0"/>
        <w:keepLines w:val="0"/>
        <w:widowControl/>
        <w:suppressLineNumbers w:val="0"/>
        <w:jc w:val="center"/>
      </w:pPr>
      <w:r>
        <w:rPr>
          <w:rFonts w:hint="eastAsia" w:ascii="黑体" w:hAnsi="宋体" w:eastAsia="黑体" w:cs="黑体"/>
          <w:color w:val="000000"/>
          <w:kern w:val="0"/>
          <w:sz w:val="44"/>
          <w:szCs w:val="44"/>
          <w:lang w:val="en-US" w:eastAsia="zh-CN" w:bidi="ar"/>
        </w:rPr>
        <w:t>第五部分 附件</w:t>
      </w:r>
    </w:p>
    <w:p w14:paraId="53C11420"/>
    <w:sectPr>
      <w:footerReference r:id="rId5" w:type="default"/>
      <w:pgSz w:w="11906" w:h="16838"/>
      <w:pgMar w:top="1213" w:right="1800" w:bottom="1327"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5D8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20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E2B30">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3E2B30">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2E3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ZDQ2Y2U4MjE3ZmI1YWYxMjQzODY4YzBhYWQxYjUifQ=="/>
  </w:docVars>
  <w:rsids>
    <w:rsidRoot w:val="00000000"/>
    <w:rsid w:val="032447BE"/>
    <w:rsid w:val="0B8E1131"/>
    <w:rsid w:val="0C945D61"/>
    <w:rsid w:val="0CCD132C"/>
    <w:rsid w:val="0E52151F"/>
    <w:rsid w:val="1202325C"/>
    <w:rsid w:val="163634D4"/>
    <w:rsid w:val="1F0B19A2"/>
    <w:rsid w:val="22A75E85"/>
    <w:rsid w:val="27F81D5E"/>
    <w:rsid w:val="2F552C43"/>
    <w:rsid w:val="56FA0FCB"/>
    <w:rsid w:val="59973856"/>
    <w:rsid w:val="6B1940CB"/>
    <w:rsid w:val="70CE7706"/>
    <w:rsid w:val="73FC27DC"/>
    <w:rsid w:val="764F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19</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2026-04-09T02:16:00Z</dcterms:created>
  <dc:creator>Administrator</dc:creator>
  <cp:lastModifiedBy>Administrator</cp:lastModifiedBy>
  <dcterms:modified xsi:type="dcterms:W3CDTF">2026-04-09T08:37:07Z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439221F0A72844BFBFD9F28F93C01793_12</vt:lpwstr>
  </property>
</Properties>
</file>