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DFCF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DFCF8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DFCF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36"/>
          <w:lang w:eastAsia="zh-CN"/>
        </w:rPr>
        <w:t>关于印发《柳州市新增工业项目“标准地”控制性指标（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36"/>
          <w:lang w:val="en-US"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36"/>
          <w:lang w:eastAsia="zh-CN"/>
        </w:rPr>
        <w:t>）》的通知（征求意见稿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DFCF8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DFCF8"/>
        </w:rPr>
        <w:t>各县、区人民政府，市直机关各有关委、办局，柳东新区、北部生态新区（阳和工业新区）管委会，各有关单位：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《柳州市新增工业项目“标准地”控制性指标（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印发给你们，请遵照执行。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总体要求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华文楷体"/>
          <w:bCs/>
          <w:sz w:val="32"/>
          <w:szCs w:val="32"/>
        </w:rPr>
      </w:pPr>
      <w:r>
        <w:rPr>
          <w:rFonts w:ascii="Times New Roman" w:hAnsi="Times New Roman" w:eastAsia="华文楷体"/>
          <w:bCs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深入贯彻落实党的二十大提出的实施全面节约战略，推进土地资源的节约集约利用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，落实自治区党委、自治区人民政府的工作要求。继续推进我市</w:t>
      </w:r>
      <w:r>
        <w:rPr>
          <w:rFonts w:hint="eastAsia" w:ascii="仿宋_GB2312" w:eastAsia="仿宋_GB2312"/>
          <w:sz w:val="32"/>
          <w:szCs w:val="32"/>
          <w:lang w:eastAsia="zh-CN"/>
        </w:rPr>
        <w:t>工业项目“标准地”改革工作，促进我市工业项目节约集约用地，提高土地产出效益，进一步助推工业经济高质量发展。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华文楷体"/>
          <w:bCs/>
          <w:sz w:val="32"/>
          <w:szCs w:val="32"/>
        </w:rPr>
      </w:pPr>
      <w:r>
        <w:rPr>
          <w:rFonts w:ascii="Times New Roman" w:hAnsi="Times New Roman" w:eastAsia="华文楷体"/>
          <w:bCs/>
          <w:sz w:val="32"/>
          <w:szCs w:val="32"/>
        </w:rPr>
        <w:t>（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华文楷体"/>
          <w:bCs/>
          <w:sz w:val="32"/>
          <w:szCs w:val="32"/>
        </w:rPr>
        <w:t>）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实施</w:t>
      </w:r>
      <w:r>
        <w:rPr>
          <w:rFonts w:ascii="Times New Roman" w:hAnsi="Times New Roman" w:eastAsia="华文楷体"/>
          <w:bCs/>
          <w:sz w:val="32"/>
          <w:szCs w:val="32"/>
        </w:rPr>
        <w:t>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华文楷体"/>
          <w:bCs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柳东新区（柳州高新技术产业开发区）、北部生态新区（阳和工业新区）、河西高新技术产业开发区、柳北工业区、鱼峰区工业园区、柳江区新兴工业园作为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实施</w:t>
      </w:r>
      <w:r>
        <w:rPr>
          <w:rFonts w:ascii="Times New Roman" w:hAnsi="Times New Roman" w:eastAsia="仿宋"/>
          <w:sz w:val="32"/>
          <w:szCs w:val="32"/>
        </w:rPr>
        <w:t>园区（开发区），按照本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通知</w:t>
      </w:r>
      <w:r>
        <w:rPr>
          <w:rFonts w:ascii="Times New Roman" w:hAnsi="Times New Roman" w:eastAsia="仿宋"/>
          <w:sz w:val="32"/>
          <w:szCs w:val="32"/>
        </w:rPr>
        <w:t>执行。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市本级上述工业园区外的工业项目也应按照本通知执行，</w:t>
      </w:r>
      <w:r>
        <w:rPr>
          <w:rFonts w:ascii="Times New Roman" w:hAnsi="Times New Roman" w:eastAsia="仿宋"/>
          <w:sz w:val="32"/>
          <w:szCs w:val="32"/>
        </w:rPr>
        <w:t>各县工业园区，试行工业项目“标准地”出让的，可参照本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通知</w:t>
      </w:r>
      <w:r>
        <w:rPr>
          <w:rFonts w:ascii="Times New Roman" w:hAnsi="Times New Roman" w:eastAsia="仿宋"/>
          <w:sz w:val="32"/>
          <w:szCs w:val="32"/>
        </w:rPr>
        <w:t>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华文楷体"/>
          <w:bCs/>
          <w:sz w:val="32"/>
          <w:szCs w:val="32"/>
          <w:lang w:eastAsia="zh-CN"/>
        </w:rPr>
      </w:pPr>
      <w:r>
        <w:rPr>
          <w:rFonts w:ascii="Times New Roman" w:hAnsi="Times New Roman" w:eastAsia="华文楷体"/>
          <w:bCs/>
          <w:sz w:val="32"/>
          <w:szCs w:val="32"/>
        </w:rPr>
        <w:t>（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华文楷体"/>
          <w:bCs/>
          <w:sz w:val="32"/>
          <w:szCs w:val="32"/>
        </w:rPr>
        <w:t>）工作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要求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自本通知印发后</w:t>
      </w:r>
      <w:r>
        <w:rPr>
          <w:rFonts w:ascii="Times New Roman" w:hAnsi="Times New Roman" w:eastAsia="仿宋"/>
          <w:sz w:val="32"/>
          <w:szCs w:val="32"/>
        </w:rPr>
        <w:t>，各园区（开发区）工业项目用地全部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《柳州市新增工业项目“标准地”控制性指标（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</w:t>
      </w:r>
      <w:r>
        <w:rPr>
          <w:rFonts w:ascii="Times New Roman" w:hAnsi="Times New Roman" w:eastAsia="仿宋"/>
          <w:sz w:val="32"/>
          <w:szCs w:val="32"/>
        </w:rPr>
        <w:t>实行“带标准出让”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重点任务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华文楷体"/>
          <w:bCs/>
          <w:sz w:val="32"/>
          <w:szCs w:val="32"/>
        </w:rPr>
        <w:t>（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一</w:t>
      </w:r>
      <w:r>
        <w:rPr>
          <w:rFonts w:ascii="Times New Roman" w:hAnsi="Times New Roman" w:eastAsia="华文楷体"/>
          <w:bCs/>
          <w:sz w:val="32"/>
          <w:szCs w:val="32"/>
        </w:rPr>
        <w:t>）构建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完善</w:t>
      </w:r>
      <w:r>
        <w:rPr>
          <w:rFonts w:ascii="Times New Roman" w:hAnsi="Times New Roman" w:eastAsia="华文楷体"/>
          <w:bCs/>
          <w:sz w:val="32"/>
          <w:szCs w:val="32"/>
        </w:rPr>
        <w:t>“标准地”出让指标体系。</w:t>
      </w:r>
      <w:r>
        <w:rPr>
          <w:rFonts w:ascii="Times New Roman" w:hAnsi="Times New Roman" w:eastAsia="仿宋_GB2312"/>
          <w:sz w:val="32"/>
          <w:szCs w:val="32"/>
        </w:rPr>
        <w:t>根据国家和自治区产业政策、</w:t>
      </w:r>
      <w:r>
        <w:rPr>
          <w:rFonts w:hint="eastAsia" w:ascii="Times New Roman" w:hAnsi="Times New Roman" w:eastAsia="仿宋_GB2312"/>
          <w:sz w:val="32"/>
          <w:szCs w:val="32"/>
        </w:rPr>
        <w:t>《广西壮族自治区建设用地控制指标（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年修订）》</w:t>
      </w:r>
      <w:r>
        <w:rPr>
          <w:rFonts w:ascii="Times New Roman" w:hAnsi="Times New Roman" w:eastAsia="仿宋_GB2312"/>
          <w:sz w:val="32"/>
          <w:szCs w:val="32"/>
        </w:rPr>
        <w:t>、能耗环保要求等，制订发布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《柳州市新增工业项目“标准地”控制性指标（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ascii="Times New Roman" w:hAnsi="Times New Roman" w:eastAsia="仿宋_GB2312"/>
          <w:sz w:val="32"/>
          <w:szCs w:val="32"/>
        </w:rPr>
        <w:t>（详见附件）。各城区政府（新区管委会）要结合园区</w:t>
      </w:r>
      <w:r>
        <w:rPr>
          <w:rFonts w:ascii="Times New Roman" w:hAnsi="Times New Roman" w:eastAsia="仿宋"/>
          <w:sz w:val="32"/>
          <w:szCs w:val="32"/>
        </w:rPr>
        <w:t>（开发区）</w:t>
      </w:r>
      <w:r>
        <w:rPr>
          <w:rFonts w:ascii="Times New Roman" w:hAnsi="Times New Roman" w:eastAsia="仿宋_GB2312"/>
          <w:sz w:val="32"/>
          <w:szCs w:val="32"/>
        </w:rPr>
        <w:t>实际和产业特点，制订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完善</w:t>
      </w:r>
      <w:r>
        <w:rPr>
          <w:rFonts w:ascii="Times New Roman" w:hAnsi="Times New Roman" w:eastAsia="仿宋_GB2312"/>
          <w:sz w:val="32"/>
          <w:szCs w:val="32"/>
        </w:rPr>
        <w:t>新增工业项目“标准地”控制性指标。根据实际情况，探索设置科研投入、就业、技术、人才、品牌等软性投资指标。（牵头单位：柳东新区管委会、北部生态新区管委会、各城区政府；责任单位：市工信局、市自然资源和规划局、市发改委、市生态环境局、市住建局、市税务局、市科技局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华文楷体"/>
          <w:bCs/>
          <w:sz w:val="32"/>
          <w:szCs w:val="32"/>
        </w:rPr>
        <w:t>（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华文楷体"/>
          <w:bCs/>
          <w:sz w:val="32"/>
          <w:szCs w:val="32"/>
        </w:rPr>
        <w:t>）总结工业项目“标准地”改革</w:t>
      </w: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成果</w:t>
      </w:r>
      <w:r>
        <w:rPr>
          <w:rFonts w:ascii="Times New Roman" w:hAnsi="Times New Roman" w:eastAsia="华文楷体"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围绕事前定标准、事中做承诺、事后强监管等关键环节，</w:t>
      </w:r>
      <w:r>
        <w:rPr>
          <w:rFonts w:hint="eastAsia" w:ascii="仿宋_GB2312" w:eastAsia="仿宋_GB2312"/>
          <w:sz w:val="32"/>
          <w:szCs w:val="32"/>
          <w:lang w:eastAsia="zh-CN"/>
        </w:rPr>
        <w:t>探索完善相关制度，</w:t>
      </w:r>
      <w:r>
        <w:rPr>
          <w:rFonts w:ascii="Times New Roman" w:hAnsi="Times New Roman" w:eastAsia="仿宋"/>
          <w:sz w:val="32"/>
          <w:szCs w:val="32"/>
        </w:rPr>
        <w:t>适时对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深化推进</w:t>
      </w:r>
      <w:r>
        <w:rPr>
          <w:rFonts w:hint="eastAsia" w:ascii="仿宋_GB2312" w:eastAsia="仿宋_GB2312"/>
          <w:sz w:val="32"/>
          <w:szCs w:val="32"/>
          <w:lang w:eastAsia="zh-CN"/>
        </w:rPr>
        <w:t>工业项目“标准地”改革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工作</w:t>
      </w:r>
      <w:r>
        <w:rPr>
          <w:rFonts w:ascii="Times New Roman" w:hAnsi="Times New Roman" w:eastAsia="仿宋"/>
          <w:sz w:val="32"/>
          <w:szCs w:val="32"/>
        </w:rPr>
        <w:t>开展情况、实施效果等进行综合评估。根据评估情况进一步改进和完善“标准地”制度体系，不断提高改革质量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（牵头单位：市自然资源和规划局；责任单位：市发改委、市工信局、市住建局、市审批局，柳东新区管委会、北部生态新区管委会、各城区政府）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、保障措施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（一）加强组织领导。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由</w:t>
      </w:r>
      <w:r>
        <w:rPr>
          <w:rFonts w:ascii="Times New Roman" w:hAnsi="Times New Roman" w:eastAsia="仿宋"/>
          <w:sz w:val="32"/>
          <w:szCs w:val="32"/>
        </w:rPr>
        <w:t>市工业项目“标准地”改革试点工作领导小组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负责统筹组织推进全市工业项目“标准地”改革工作。</w:t>
      </w:r>
      <w:r>
        <w:rPr>
          <w:rFonts w:ascii="Times New Roman" w:hAnsi="Times New Roman" w:eastAsia="仿宋_GB2312"/>
          <w:sz w:val="32"/>
          <w:szCs w:val="32"/>
        </w:rPr>
        <w:t>市级有关部门要根据职责分工，指导落实“标准地”改革相关举措。各城区政府（新区管委会）要加强对</w:t>
      </w:r>
      <w:r>
        <w:rPr>
          <w:rFonts w:hint="eastAsia" w:ascii="仿宋_GB2312" w:eastAsia="仿宋_GB2312"/>
          <w:sz w:val="32"/>
          <w:szCs w:val="32"/>
          <w:lang w:eastAsia="zh-CN"/>
        </w:rPr>
        <w:t>工业项目“标准地”改革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组织实施与协调管理，</w:t>
      </w:r>
      <w:r>
        <w:rPr>
          <w:rFonts w:hint="eastAsia" w:ascii="仿宋_GB2312" w:eastAsia="仿宋_GB2312"/>
          <w:sz w:val="32"/>
          <w:szCs w:val="32"/>
          <w:lang w:eastAsia="zh-CN"/>
        </w:rPr>
        <w:t>建立改革工作协调机制，依法依规、稳妥有序推进改革具体工作。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华文楷体"/>
          <w:bCs/>
          <w:sz w:val="32"/>
          <w:szCs w:val="32"/>
          <w:lang w:eastAsia="zh-CN"/>
        </w:rPr>
        <w:t>（二）加强宣传引导。</w:t>
      </w:r>
      <w:r>
        <w:rPr>
          <w:rFonts w:hint="eastAsia" w:ascii="仿宋_GB2312" w:eastAsia="仿宋_GB2312"/>
          <w:sz w:val="32"/>
          <w:szCs w:val="32"/>
          <w:lang w:eastAsia="zh-CN"/>
        </w:rPr>
        <w:t>各级各相关部门要广泛宣传工业项目“标准地”改革工作，及时准确发布改革信息，通俗易懂做好政策解读，正确引导社会预期，营造良好舆论氛围。认真总结推广先进经验、典型做法，不断提升工业项目“标准地”改革实效，打造更加良好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/>
          <w:sz w:val="32"/>
          <w:szCs w:val="32"/>
        </w:rPr>
        <w:t>柳州市新增工业项目“标准地”控制性指标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both"/>
        <w:rPr>
          <w:rFonts w:hint="eastAsia"/>
          <w:sz w:val="28"/>
          <w:szCs w:val="36"/>
        </w:rPr>
      </w:pPr>
    </w:p>
    <w:p>
      <w:pPr>
        <w:jc w:val="both"/>
        <w:rPr>
          <w:rFonts w:hint="eastAsia"/>
          <w:sz w:val="28"/>
          <w:szCs w:val="36"/>
        </w:rPr>
      </w:pPr>
    </w:p>
    <w:p>
      <w:pPr>
        <w:jc w:val="both"/>
        <w:rPr>
          <w:rFonts w:hint="eastAsia"/>
          <w:sz w:val="28"/>
          <w:szCs w:val="36"/>
        </w:rPr>
      </w:pPr>
    </w:p>
    <w:p>
      <w:pPr>
        <w:jc w:val="both"/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br w:type="page"/>
      </w:r>
    </w:p>
    <w:p>
      <w:pPr>
        <w:jc w:val="center"/>
        <w:rPr>
          <w:rFonts w:hint="eastAsia"/>
          <w:sz w:val="22"/>
          <w:szCs w:val="28"/>
        </w:rPr>
      </w:pPr>
      <w:r>
        <w:rPr>
          <w:rFonts w:hint="eastAsia"/>
          <w:sz w:val="28"/>
          <w:szCs w:val="36"/>
        </w:rPr>
        <w:t>柳州市新增工业项目“标准地”控制性指标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2022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4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446"/>
        <w:gridCol w:w="1529"/>
        <w:gridCol w:w="826"/>
        <w:gridCol w:w="894"/>
        <w:gridCol w:w="1010"/>
        <w:gridCol w:w="1043"/>
        <w:gridCol w:w="1199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  <w:r>
              <w:rPr>
                <w:rFonts w:hint="eastAsia" w:ascii="Times New Roman" w:hAnsi="宋体"/>
                <w:b/>
                <w:bCs/>
                <w:sz w:val="18"/>
                <w:szCs w:val="18"/>
                <w:lang w:eastAsia="zh-CN"/>
              </w:rPr>
              <w:t>（自治区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hint="eastAsia" w:ascii="Times New Roman" w:hAnsi="宋体"/>
                <w:b/>
                <w:bCs/>
                <w:sz w:val="18"/>
                <w:szCs w:val="18"/>
                <w:lang w:eastAsia="zh-CN"/>
              </w:rPr>
              <w:t>年修订版）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宋体" w:eastAsiaTheme="minorEastAsia"/>
                <w:b/>
                <w:bCs/>
                <w:color w:val="FF0000"/>
                <w:sz w:val="16"/>
                <w:szCs w:val="16"/>
                <w:lang w:eastAsia="zh-CN"/>
              </w:rPr>
            </w:pP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固定资产投资强度（万元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亩）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容积率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color w:val="FF0000"/>
                <w:sz w:val="18"/>
                <w:szCs w:val="18"/>
                <w:lang w:eastAsia="zh-CN"/>
              </w:rPr>
              <w:t>地</w:t>
            </w: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均税收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（万元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亩）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产出强度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（万元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宋体"/>
                <w:b/>
                <w:bCs/>
                <w:color w:val="FF0000"/>
                <w:sz w:val="18"/>
                <w:szCs w:val="18"/>
              </w:rPr>
              <w:t>亩）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sz w:val="18"/>
                <w:szCs w:val="18"/>
                <w:lang w:eastAsia="zh-CN"/>
              </w:rPr>
              <w:t>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sz w:val="18"/>
                <w:szCs w:val="18"/>
                <w:lang w:eastAsia="zh-CN"/>
              </w:rPr>
              <w:t>排放标准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农副食品加工业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食品制造业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both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纺织服装、服饰业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医药制造业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非</w:t>
            </w: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eastAsia="zh-CN"/>
              </w:rPr>
              <w:t>金</w:t>
            </w: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属矿物制品业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金属制</w:t>
            </w: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eastAsia="zh-CN"/>
              </w:rPr>
              <w:t>品</w:t>
            </w: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通用设备制造业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专用设备制造业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</w:rPr>
              <w:t>铁路、船舶、航空航天和其他运输设备制</w:t>
            </w: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eastAsia="zh-CN"/>
              </w:rPr>
              <w:t>造</w:t>
            </w: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</w:rPr>
              <w:t>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8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电气机械及器材制造业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4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  <w:t>木材加工和木、竹、藤、棕、草制品业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宋体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  <w:r>
              <w:rPr>
                <w:rFonts w:hint="eastAsia" w:ascii="Times New Roman" w:hAnsi="宋体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石油、煤炭及其他燃料加工业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  <w:t>化学纤维制造业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ˎ̥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ˎ̥"/>
                <w:b w:val="0"/>
                <w:bCs w:val="0"/>
                <w:color w:val="000000"/>
                <w:sz w:val="18"/>
                <w:szCs w:val="18"/>
                <w:lang w:eastAsia="zh-CN"/>
              </w:rPr>
              <w:t>汽车制造业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ˎ̥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  <w:t>仪器仪表制造业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eastAsia" w:ascii="Times New Roman" w:hAnsi="ˎ̥" w:eastAsia="宋体" w:cs="Times New Roman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  <w:t>其他制造业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th-TH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4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低于国家行业能耗标准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行业排放标准，达标排放。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  <w:rPr>
                <w:rFonts w:ascii="Times New Roman" w:hAnsi="宋体"/>
                <w:sz w:val="16"/>
                <w:szCs w:val="16"/>
              </w:rPr>
            </w:pPr>
            <w:r>
              <w:rPr>
                <w:rFonts w:hint="eastAsia" w:ascii="Times New Roman" w:hAnsi="宋体"/>
                <w:sz w:val="16"/>
                <w:szCs w:val="16"/>
                <w:lang w:eastAsia="zh-CN"/>
              </w:rPr>
              <w:t>根据柳州市各工业园区产业定位新增产业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仿宋_GB2312"/>
          <w:sz w:val="22"/>
          <w:szCs w:val="22"/>
          <w:lang w:eastAsia="zh-CN"/>
        </w:rPr>
      </w:pPr>
      <w:r>
        <w:rPr>
          <w:rFonts w:ascii="Times New Roman" w:hAnsi="Times New Roman" w:eastAsia="仿宋_GB2312"/>
          <w:sz w:val="22"/>
          <w:szCs w:val="22"/>
        </w:rPr>
        <w:t>备注：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>1</w:t>
      </w:r>
      <w:r>
        <w:rPr>
          <w:rFonts w:ascii="Times New Roman" w:hAnsi="Times New Roman" w:eastAsia="仿宋_GB2312"/>
          <w:sz w:val="22"/>
          <w:szCs w:val="22"/>
        </w:rPr>
        <w:t>.</w:t>
      </w: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>上述产业根据柳州市各工业园区产业定位选出</w:t>
      </w:r>
      <w:r>
        <w:rPr>
          <w:rFonts w:hint="eastAsia" w:ascii="Times New Roman" w:hAnsi="Times New Roman" w:eastAsia="仿宋_GB2312"/>
          <w:sz w:val="22"/>
          <w:szCs w:val="22"/>
          <w:lang w:eastAsia="zh-CN"/>
        </w:rPr>
        <w:t>。</w:t>
      </w:r>
    </w:p>
    <w:p>
      <w:pPr>
        <w:numPr>
          <w:ilvl w:val="0"/>
          <w:numId w:val="2"/>
        </w:numPr>
        <w:ind w:firstLine="660" w:firstLineChars="300"/>
        <w:rPr>
          <w:rFonts w:hint="eastAsia" w:ascii="Times New Roman" w:hAnsi="Times New Roman" w:eastAsia="仿宋_GB2312"/>
          <w:sz w:val="22"/>
          <w:szCs w:val="22"/>
          <w:lang w:eastAsia="zh-CN"/>
        </w:rPr>
      </w:pP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高新技术产业园区、综合类产业园区、外向型经济类产业园区</w:t>
      </w:r>
      <w:r>
        <w:rPr>
          <w:rFonts w:hint="eastAsia" w:ascii="Times New Roman" w:hAnsi="Times New Roman" w:eastAsia="仿宋_GB2312"/>
          <w:sz w:val="22"/>
          <w:szCs w:val="22"/>
          <w:lang w:eastAsia="zh-CN"/>
        </w:rPr>
        <w:t>地</w:t>
      </w:r>
      <w:r>
        <w:rPr>
          <w:rFonts w:ascii="Times New Roman" w:hAnsi="Times New Roman" w:eastAsia="仿宋_GB2312"/>
          <w:sz w:val="22"/>
          <w:szCs w:val="22"/>
        </w:rPr>
        <w:t>均税收、产出强度</w:t>
      </w:r>
      <w:r>
        <w:rPr>
          <w:rFonts w:hint="eastAsia" w:ascii="Times New Roman" w:hAnsi="Times New Roman" w:eastAsia="仿宋_GB2312"/>
          <w:sz w:val="22"/>
          <w:szCs w:val="22"/>
          <w:lang w:eastAsia="zh-CN"/>
        </w:rPr>
        <w:t>要求原则上不低于</w:t>
      </w: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60" w:firstLineChars="300"/>
        <w:rPr>
          <w:rFonts w:hint="eastAsia" w:ascii="Times New Roman" w:hAnsi="Times New Roman" w:eastAsia="仿宋_GB2312"/>
          <w:sz w:val="22"/>
          <w:szCs w:val="22"/>
          <w:lang w:eastAsia="zh-CN"/>
        </w:rPr>
      </w:pPr>
      <w:r>
        <w:rPr>
          <w:rFonts w:hint="eastAsia" w:ascii="Times New Roman" w:hAnsi="Times New Roman" w:eastAsia="仿宋_GB2312"/>
          <w:sz w:val="22"/>
          <w:szCs w:val="22"/>
        </w:rPr>
        <w:t>《广西壮族自治区建设用地控制指标（</w:t>
      </w:r>
      <w:r>
        <w:rPr>
          <w:rFonts w:hint="default" w:ascii="Times New Roman" w:hAnsi="Times New Roman" w:eastAsia="仿宋_GB2312" w:cs="Times New Roman"/>
          <w:sz w:val="22"/>
          <w:szCs w:val="22"/>
        </w:rPr>
        <w:t>2021</w:t>
      </w:r>
      <w:r>
        <w:rPr>
          <w:rFonts w:hint="eastAsia" w:ascii="Times New Roman" w:hAnsi="Times New Roman" w:eastAsia="仿宋_GB2312"/>
          <w:sz w:val="22"/>
          <w:szCs w:val="22"/>
        </w:rPr>
        <w:t>年修订）》</w:t>
      </w:r>
      <w:r>
        <w:rPr>
          <w:rFonts w:hint="eastAsia" w:ascii="Times New Roman" w:hAnsi="Times New Roman" w:eastAsia="仿宋_GB2312"/>
          <w:sz w:val="22"/>
          <w:szCs w:val="22"/>
          <w:lang w:eastAsia="zh-CN"/>
        </w:rPr>
        <w:t>所设定标准。</w:t>
      </w:r>
    </w:p>
    <w:p>
      <w:pPr>
        <w:numPr>
          <w:ilvl w:val="0"/>
          <w:numId w:val="2"/>
        </w:numPr>
        <w:ind w:firstLine="660" w:firstLineChars="300"/>
        <w:rPr>
          <w:rFonts w:hint="eastAsia" w:ascii="Times New Roman" w:hAnsi="Times New Roman" w:eastAsia="仿宋_GB2312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22"/>
          <w:szCs w:val="22"/>
          <w:lang w:val="en-US" w:eastAsia="zh-CN"/>
        </w:rPr>
        <w:t>本控制性指标适用于市本级的新增工业项目，此前规定与本规定不一致的，以本规定为准。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BFEF0"/>
    <w:multiLevelType w:val="singleLevel"/>
    <w:tmpl w:val="E15BFE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516897"/>
    <w:multiLevelType w:val="singleLevel"/>
    <w:tmpl w:val="045168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4B05"/>
    <w:rsid w:val="015C0F29"/>
    <w:rsid w:val="01920C29"/>
    <w:rsid w:val="022A6995"/>
    <w:rsid w:val="02DE43F0"/>
    <w:rsid w:val="03631DF5"/>
    <w:rsid w:val="0410287A"/>
    <w:rsid w:val="06B91E9F"/>
    <w:rsid w:val="07016F8A"/>
    <w:rsid w:val="077B0040"/>
    <w:rsid w:val="08090FD4"/>
    <w:rsid w:val="086A634B"/>
    <w:rsid w:val="0A256E83"/>
    <w:rsid w:val="0A3178E1"/>
    <w:rsid w:val="0A3F6316"/>
    <w:rsid w:val="0B1B32EC"/>
    <w:rsid w:val="0C182ABC"/>
    <w:rsid w:val="0C4115D9"/>
    <w:rsid w:val="0D603C3D"/>
    <w:rsid w:val="0DC82218"/>
    <w:rsid w:val="0E4F7585"/>
    <w:rsid w:val="0F4E6DDF"/>
    <w:rsid w:val="0FC240B4"/>
    <w:rsid w:val="10107851"/>
    <w:rsid w:val="101C6DCB"/>
    <w:rsid w:val="10484D09"/>
    <w:rsid w:val="106B686A"/>
    <w:rsid w:val="10A868F2"/>
    <w:rsid w:val="10AA6533"/>
    <w:rsid w:val="10D94892"/>
    <w:rsid w:val="10E20FF9"/>
    <w:rsid w:val="1113107B"/>
    <w:rsid w:val="1142100A"/>
    <w:rsid w:val="11D4394C"/>
    <w:rsid w:val="13BF16A0"/>
    <w:rsid w:val="147863C7"/>
    <w:rsid w:val="147A197E"/>
    <w:rsid w:val="16094A2E"/>
    <w:rsid w:val="16337B23"/>
    <w:rsid w:val="166E247E"/>
    <w:rsid w:val="18084BBA"/>
    <w:rsid w:val="194C7CB6"/>
    <w:rsid w:val="19AF26D4"/>
    <w:rsid w:val="19CD04E6"/>
    <w:rsid w:val="1C4D3CFE"/>
    <w:rsid w:val="1CC84CD8"/>
    <w:rsid w:val="1CCA76EB"/>
    <w:rsid w:val="1D3B6A9A"/>
    <w:rsid w:val="1D7B61D7"/>
    <w:rsid w:val="1D7D313E"/>
    <w:rsid w:val="1DD97C16"/>
    <w:rsid w:val="1DFC29FC"/>
    <w:rsid w:val="1E3F7E68"/>
    <w:rsid w:val="1EAF7C48"/>
    <w:rsid w:val="1FEE0A8C"/>
    <w:rsid w:val="20024C0F"/>
    <w:rsid w:val="200A757F"/>
    <w:rsid w:val="208175E0"/>
    <w:rsid w:val="209F12E4"/>
    <w:rsid w:val="20CF55F5"/>
    <w:rsid w:val="20F127FF"/>
    <w:rsid w:val="2143431D"/>
    <w:rsid w:val="21885485"/>
    <w:rsid w:val="218E3192"/>
    <w:rsid w:val="21CA4D8B"/>
    <w:rsid w:val="26201364"/>
    <w:rsid w:val="280A53D9"/>
    <w:rsid w:val="283267EB"/>
    <w:rsid w:val="28C23DDA"/>
    <w:rsid w:val="29933F67"/>
    <w:rsid w:val="29A707DD"/>
    <w:rsid w:val="29C95315"/>
    <w:rsid w:val="29F202FC"/>
    <w:rsid w:val="2CC539E6"/>
    <w:rsid w:val="2CC72FDF"/>
    <w:rsid w:val="2E873F44"/>
    <w:rsid w:val="2EDE4E16"/>
    <w:rsid w:val="2EF839AD"/>
    <w:rsid w:val="2F3722F3"/>
    <w:rsid w:val="303077D7"/>
    <w:rsid w:val="305F394C"/>
    <w:rsid w:val="321D049C"/>
    <w:rsid w:val="32587BEE"/>
    <w:rsid w:val="328B717F"/>
    <w:rsid w:val="33505F5F"/>
    <w:rsid w:val="34737801"/>
    <w:rsid w:val="351A6075"/>
    <w:rsid w:val="35AE36D9"/>
    <w:rsid w:val="36C55722"/>
    <w:rsid w:val="37C776A5"/>
    <w:rsid w:val="37D76E93"/>
    <w:rsid w:val="38DA0124"/>
    <w:rsid w:val="3A7878B8"/>
    <w:rsid w:val="3B067B50"/>
    <w:rsid w:val="3C7B400B"/>
    <w:rsid w:val="3D2B118E"/>
    <w:rsid w:val="3DA33181"/>
    <w:rsid w:val="3DA67126"/>
    <w:rsid w:val="3DBE2C38"/>
    <w:rsid w:val="3DC52EDE"/>
    <w:rsid w:val="3EAB5889"/>
    <w:rsid w:val="3EFB2359"/>
    <w:rsid w:val="3F064605"/>
    <w:rsid w:val="3F9E7BF3"/>
    <w:rsid w:val="42EB429C"/>
    <w:rsid w:val="43183F37"/>
    <w:rsid w:val="44776616"/>
    <w:rsid w:val="447B2653"/>
    <w:rsid w:val="45063DE3"/>
    <w:rsid w:val="4539725D"/>
    <w:rsid w:val="45793100"/>
    <w:rsid w:val="4586480A"/>
    <w:rsid w:val="45B929E7"/>
    <w:rsid w:val="46382D5A"/>
    <w:rsid w:val="46673129"/>
    <w:rsid w:val="470C58C7"/>
    <w:rsid w:val="47B70BFB"/>
    <w:rsid w:val="486F64A1"/>
    <w:rsid w:val="49120416"/>
    <w:rsid w:val="493903D7"/>
    <w:rsid w:val="49C55E29"/>
    <w:rsid w:val="49DC4F6E"/>
    <w:rsid w:val="4A2D75FD"/>
    <w:rsid w:val="4C2175A7"/>
    <w:rsid w:val="4CC11ACD"/>
    <w:rsid w:val="4DAF383D"/>
    <w:rsid w:val="4F1D725A"/>
    <w:rsid w:val="4FF9262A"/>
    <w:rsid w:val="4FF92ECF"/>
    <w:rsid w:val="50405234"/>
    <w:rsid w:val="50632DB8"/>
    <w:rsid w:val="51BD5C91"/>
    <w:rsid w:val="529A0C61"/>
    <w:rsid w:val="52BC6635"/>
    <w:rsid w:val="53527896"/>
    <w:rsid w:val="541537DA"/>
    <w:rsid w:val="542E18D4"/>
    <w:rsid w:val="54B8453F"/>
    <w:rsid w:val="55252035"/>
    <w:rsid w:val="556D644B"/>
    <w:rsid w:val="55934FD8"/>
    <w:rsid w:val="55AE4073"/>
    <w:rsid w:val="56766DEC"/>
    <w:rsid w:val="584A5D65"/>
    <w:rsid w:val="58DA5C20"/>
    <w:rsid w:val="59636B51"/>
    <w:rsid w:val="5975480D"/>
    <w:rsid w:val="59A748FA"/>
    <w:rsid w:val="59F25830"/>
    <w:rsid w:val="5BBA1877"/>
    <w:rsid w:val="5C1835EE"/>
    <w:rsid w:val="5C3C274A"/>
    <w:rsid w:val="5C487385"/>
    <w:rsid w:val="5C753803"/>
    <w:rsid w:val="5CC41BEC"/>
    <w:rsid w:val="5CC91F72"/>
    <w:rsid w:val="5CD16CA1"/>
    <w:rsid w:val="5DCB4567"/>
    <w:rsid w:val="5E966A49"/>
    <w:rsid w:val="5ECB614E"/>
    <w:rsid w:val="60C66A31"/>
    <w:rsid w:val="615C345C"/>
    <w:rsid w:val="61706BE1"/>
    <w:rsid w:val="61D61051"/>
    <w:rsid w:val="629F11C5"/>
    <w:rsid w:val="639979B1"/>
    <w:rsid w:val="642D54E7"/>
    <w:rsid w:val="64BF3B9B"/>
    <w:rsid w:val="668F4237"/>
    <w:rsid w:val="68D05BBE"/>
    <w:rsid w:val="68E16ADD"/>
    <w:rsid w:val="6910073F"/>
    <w:rsid w:val="69DA279B"/>
    <w:rsid w:val="6BB1794C"/>
    <w:rsid w:val="6D0F00BE"/>
    <w:rsid w:val="6D3B0775"/>
    <w:rsid w:val="6D494416"/>
    <w:rsid w:val="6DAF683C"/>
    <w:rsid w:val="6E60669C"/>
    <w:rsid w:val="6EBC193D"/>
    <w:rsid w:val="6F923198"/>
    <w:rsid w:val="70C33CCE"/>
    <w:rsid w:val="70F45F8A"/>
    <w:rsid w:val="717F5EA7"/>
    <w:rsid w:val="719D56E5"/>
    <w:rsid w:val="737106ED"/>
    <w:rsid w:val="74B746E1"/>
    <w:rsid w:val="75173DD4"/>
    <w:rsid w:val="75317F73"/>
    <w:rsid w:val="75BC3876"/>
    <w:rsid w:val="76A83191"/>
    <w:rsid w:val="76BF6A3E"/>
    <w:rsid w:val="76CB608F"/>
    <w:rsid w:val="79524AA2"/>
    <w:rsid w:val="796A2CED"/>
    <w:rsid w:val="79C96EDF"/>
    <w:rsid w:val="7AA86A0C"/>
    <w:rsid w:val="7B795C63"/>
    <w:rsid w:val="7BCC3F90"/>
    <w:rsid w:val="7BE4642A"/>
    <w:rsid w:val="7CC70DB8"/>
    <w:rsid w:val="7D330BE7"/>
    <w:rsid w:val="7E840674"/>
    <w:rsid w:val="7EBE3C5B"/>
    <w:rsid w:val="7F12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2022-07-22T03:03:00Z</dcterms:created>
  <dc:creator>kflyk</dc:creator>
  <cp:lastModifiedBy>吴静</cp:lastModifiedBy>
  <cp:lastPrinted>2022-11-17T09:17:00Z</cp:lastPrinted>
  <dcterms:modified xsi:type="dcterms:W3CDTF">2022-12-12T02:26:22Z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