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Times New Roman" w:hAnsi="Times New Roman" w:eastAsia="方正小标宋简体" w:cs="Times New Roman"/>
          <w:bCs/>
          <w:color w:val="auto"/>
          <w:kern w:val="0"/>
          <w:sz w:val="44"/>
          <w:szCs w:val="44"/>
          <w:shd w:val="clear" w:color="auto" w:fill="FFFFFF"/>
        </w:rPr>
      </w:pPr>
      <w:r>
        <w:rPr>
          <w:rFonts w:ascii="Times New Roman" w:hAnsi="Times New Roman" w:eastAsia="方正小标宋简体" w:cs="Times New Roman"/>
          <w:bCs/>
          <w:color w:val="auto"/>
          <w:kern w:val="0"/>
          <w:sz w:val="44"/>
          <w:szCs w:val="44"/>
          <w:shd w:val="clear" w:color="auto" w:fill="FFFFFF"/>
        </w:rPr>
        <w:t>柳州市开展</w:t>
      </w:r>
      <w:r>
        <w:rPr>
          <w:rFonts w:hint="eastAsia" w:ascii="Times New Roman" w:hAnsi="Times New Roman" w:eastAsia="方正小标宋简体" w:cs="Times New Roman"/>
          <w:bCs/>
          <w:color w:val="auto"/>
          <w:kern w:val="0"/>
          <w:sz w:val="44"/>
          <w:szCs w:val="44"/>
          <w:shd w:val="clear" w:color="auto" w:fill="FFFFFF"/>
        </w:rPr>
        <w:t>“亩均效益”综合评价</w:t>
      </w:r>
    </w:p>
    <w:p>
      <w:pPr>
        <w:widowControl/>
        <w:shd w:val="clear" w:color="auto" w:fill="FFFFFF"/>
        <w:spacing w:line="600" w:lineRule="exact"/>
        <w:jc w:val="center"/>
        <w:rPr>
          <w:rFonts w:ascii="Times New Roman" w:hAnsi="Times New Roman" w:eastAsia="方正小标宋简体" w:cs="Times New Roman"/>
          <w:bCs/>
          <w:color w:val="auto"/>
          <w:kern w:val="0"/>
          <w:sz w:val="44"/>
          <w:szCs w:val="44"/>
          <w:shd w:val="clear" w:color="auto" w:fill="FFFFFF"/>
        </w:rPr>
      </w:pPr>
      <w:r>
        <w:rPr>
          <w:rFonts w:hint="eastAsia" w:ascii="Times New Roman" w:hAnsi="Times New Roman" w:eastAsia="方正小标宋简体" w:cs="Times New Roman"/>
          <w:bCs/>
          <w:color w:val="auto"/>
          <w:kern w:val="0"/>
          <w:sz w:val="44"/>
          <w:szCs w:val="44"/>
          <w:shd w:val="clear" w:color="auto" w:fill="FFFFFF"/>
        </w:rPr>
        <w:t>试点工作实施方案（试行）</w:t>
      </w:r>
    </w:p>
    <w:p>
      <w:pPr>
        <w:widowControl/>
        <w:shd w:val="clear" w:color="auto" w:fill="FFFFFF"/>
        <w:spacing w:line="560" w:lineRule="exact"/>
        <w:ind w:firstLine="640" w:firstLineChars="200"/>
        <w:rPr>
          <w:rFonts w:ascii="Times New Roman" w:hAnsi="Times New Roman" w:eastAsia="仿宋_GB2312" w:cs="Times New Roman"/>
          <w:color w:val="auto"/>
          <w:sz w:val="32"/>
          <w:szCs w:val="32"/>
        </w:rPr>
      </w:pPr>
    </w:p>
    <w:p>
      <w:pPr>
        <w:widowControl/>
        <w:shd w:val="clear" w:color="auto" w:fill="FFFFFF"/>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根据《广西壮族自治区构建园区“亩均效益”综合评价体系方案》（桂自然资发〔</w:t>
      </w:r>
      <w:r>
        <w:rPr>
          <w:rFonts w:ascii="Times New Roman" w:hAnsi="Times New Roman" w:eastAsia="仿宋_GB2312" w:cs="Times New Roman"/>
          <w:color w:val="auto"/>
          <w:sz w:val="32"/>
          <w:szCs w:val="32"/>
        </w:rPr>
        <w:t>2021</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84</w:t>
      </w:r>
      <w:r>
        <w:rPr>
          <w:rFonts w:hint="eastAsia" w:ascii="Times New Roman" w:hAnsi="Times New Roman" w:eastAsia="仿宋_GB2312" w:cs="Times New Roman"/>
          <w:color w:val="auto"/>
          <w:sz w:val="32"/>
          <w:szCs w:val="32"/>
        </w:rPr>
        <w:t>号）、《广西壮族自治区自然资源厅 广西壮族自治区发展和改革委员会 广西壮族自治区工业和信息化厅关于开展“亩均效益”综合评价试点工作的通知》（桂自然资发〔</w:t>
      </w:r>
      <w:r>
        <w:rPr>
          <w:rFonts w:ascii="Times New Roman" w:hAnsi="Times New Roman" w:eastAsia="仿宋_GB2312" w:cs="Times New Roman"/>
          <w:color w:val="auto"/>
          <w:sz w:val="32"/>
          <w:szCs w:val="32"/>
        </w:rPr>
        <w:t>2022</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83</w:t>
      </w:r>
      <w:r>
        <w:rPr>
          <w:rFonts w:hint="eastAsia" w:ascii="Times New Roman" w:hAnsi="Times New Roman" w:eastAsia="仿宋_GB2312" w:cs="Times New Roman"/>
          <w:color w:val="auto"/>
          <w:sz w:val="32"/>
          <w:szCs w:val="32"/>
        </w:rPr>
        <w:t>号）的要求，为扎实稳妥有序推进我市试点工作，结合我市实际，制定本实施方案（以下简称《方案》）。</w:t>
      </w:r>
    </w:p>
    <w:p>
      <w:pPr>
        <w:spacing w:line="560" w:lineRule="exact"/>
        <w:ind w:firstLine="643" w:firstLineChars="200"/>
        <w:outlineLvl w:val="0"/>
        <w:rPr>
          <w:rFonts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rPr>
        <w:t>一、总体要求</w:t>
      </w:r>
    </w:p>
    <w:p>
      <w:pPr>
        <w:spacing w:line="560" w:lineRule="exact"/>
        <w:ind w:firstLine="643" w:firstLineChars="200"/>
        <w:outlineLvl w:val="1"/>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（一）指导思想</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以习近平新时代中国特色社会主义思想为指导，全面贯彻党的二十大精神，围绕建设新时代中国特色社会主义壮美广西的“</w:t>
      </w:r>
      <w:r>
        <w:rPr>
          <w:rFonts w:ascii="Times New Roman" w:hAnsi="Times New Roman" w:eastAsia="仿宋_GB2312" w:cs="Times New Roman"/>
          <w:color w:val="auto"/>
          <w:sz w:val="32"/>
          <w:szCs w:val="32"/>
        </w:rPr>
        <w:t>1+1+4+3+N</w:t>
      </w:r>
      <w:r>
        <w:rPr>
          <w:rFonts w:hint="eastAsia" w:ascii="Times New Roman" w:hAnsi="Times New Roman" w:eastAsia="仿宋_GB2312" w:cs="Times New Roman"/>
          <w:color w:val="auto"/>
          <w:sz w:val="32"/>
          <w:szCs w:val="32"/>
        </w:rPr>
        <w:t xml:space="preserve">”目标任务体系，全面落实“四个新”总要求，以新发展理念为指引，坚持节约集约利用资源，探索建立以“亩均效益”为导向的综合评价机制，配套实施正向激励、反向倒逼的差别化政策措施，推动资源要素市场化配置，提高城区、开发区（工业园区）发展质量，促进工业及物流企业提高用地效益，推动产业结构优化升级，促进我市经济社会高质量发展。 </w:t>
      </w:r>
    </w:p>
    <w:p>
      <w:pPr>
        <w:spacing w:line="560" w:lineRule="exact"/>
        <w:ind w:firstLine="643" w:firstLineChars="200"/>
        <w:outlineLvl w:val="1"/>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（二）基本原则</w:t>
      </w:r>
    </w:p>
    <w:p>
      <w:pPr>
        <w:shd w:val="clear" w:color="auto" w:fill="FFFFFF"/>
        <w:spacing w:line="56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rPr>
        <w:t>效益优先，综合评价</w:t>
      </w:r>
      <w:r>
        <w:rPr>
          <w:rFonts w:hint="eastAsia" w:ascii="Times New Roman" w:hAnsi="Times New Roman" w:eastAsia="仿宋_GB2312" w:cs="Times New Roman"/>
          <w:color w:val="auto"/>
          <w:sz w:val="32"/>
          <w:szCs w:val="32"/>
        </w:rPr>
        <w:t>。建立以亩均效益为核心的评价体系，对城区、开发区（工业园区）和企业发展绩效做出综合评价。</w:t>
      </w:r>
    </w:p>
    <w:p>
      <w:pPr>
        <w:spacing w:line="560" w:lineRule="exact"/>
        <w:ind w:firstLine="643" w:firstLineChars="200"/>
        <w:rPr>
          <w:rFonts w:ascii="Times New Roman" w:hAnsi="Times New Roman" w:eastAsia="仿宋_GB2312" w:cs="Times New Roman"/>
          <w:b/>
          <w:color w:val="auto"/>
          <w:sz w:val="32"/>
          <w:szCs w:val="32"/>
        </w:rPr>
      </w:pPr>
      <w:r>
        <w:rPr>
          <w:rFonts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rPr>
        <w:t>统一标准，客观公正。</w:t>
      </w:r>
      <w:r>
        <w:rPr>
          <w:rFonts w:hint="eastAsia" w:ascii="Times New Roman" w:hAnsi="Times New Roman" w:eastAsia="仿宋_GB2312" w:cs="Times New Roman"/>
          <w:color w:val="auto"/>
          <w:sz w:val="32"/>
          <w:szCs w:val="32"/>
        </w:rPr>
        <w:t>注重评价数据采集的科学性、保密性，统一数据处理标准、评价指标体系、评价结果分类，形成合理、客观、有效的评价成果。</w:t>
      </w:r>
    </w:p>
    <w:p>
      <w:pPr>
        <w:spacing w:line="56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3.</w:t>
      </w:r>
      <w:r>
        <w:rPr>
          <w:rFonts w:hint="eastAsia" w:ascii="Times New Roman" w:hAnsi="Times New Roman" w:eastAsia="仿宋_GB2312" w:cs="Times New Roman"/>
          <w:b/>
          <w:bCs/>
          <w:color w:val="auto"/>
          <w:sz w:val="32"/>
          <w:szCs w:val="32"/>
        </w:rPr>
        <w:t>分类施策，强化应用。</w:t>
      </w:r>
      <w:r>
        <w:rPr>
          <w:rFonts w:hint="eastAsia" w:ascii="Times New Roman" w:hAnsi="Times New Roman" w:eastAsia="仿宋_GB2312" w:cs="Times New Roman"/>
          <w:color w:val="auto"/>
          <w:sz w:val="32"/>
          <w:szCs w:val="32"/>
        </w:rPr>
        <w:t>强化评价结果运用，建立正向激励与反向倒逼相结合的差别化资源配置政策体系，提高资源要素集约利用水平。</w:t>
      </w:r>
    </w:p>
    <w:p>
      <w:pPr>
        <w:spacing w:line="560" w:lineRule="exact"/>
        <w:ind w:firstLine="643" w:firstLineChars="200"/>
        <w:outlineLvl w:val="1"/>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（三）主要目标</w:t>
      </w:r>
    </w:p>
    <w:p>
      <w:pPr>
        <w:pStyle w:val="3"/>
        <w:spacing w:after="0" w:line="560" w:lineRule="exact"/>
        <w:ind w:firstLine="704" w:firstLineChars="22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通过开展城区、开发区（工业园区）、企业“亩均效益”综合评价，根据评价结果探索试行差别化激励和约束政策，检验“亩均效益”综合评价体系制定的科学性、合理性，发挥差别化奖惩机制作用，推动提高用地“亩均效益”，促进我市低效用地盘活利用、提质增效。以试点带动形成一套成果，为自治区全面建立“亩均效益”综合评价体系和资源要素差别化配置机制，常态化开展“亩均效益”综合评价，提供可复制、可推广的实践经验。</w:t>
      </w:r>
    </w:p>
    <w:p>
      <w:pPr>
        <w:spacing w:line="560" w:lineRule="exact"/>
        <w:ind w:firstLine="643" w:firstLineChars="200"/>
        <w:outlineLvl w:val="0"/>
        <w:rPr>
          <w:rFonts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rPr>
        <w:t>二、构建综合评价体系</w:t>
      </w:r>
    </w:p>
    <w:p>
      <w:pPr>
        <w:pStyle w:val="3"/>
        <w:spacing w:after="0" w:line="560" w:lineRule="exact"/>
        <w:ind w:firstLine="643"/>
        <w:jc w:val="both"/>
        <w:outlineLvl w:val="1"/>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（一）评价对象</w:t>
      </w:r>
    </w:p>
    <w:p>
      <w:pPr>
        <w:widowControl/>
        <w:shd w:val="clear" w:color="auto" w:fill="FFFFFF"/>
        <w:spacing w:line="560" w:lineRule="exact"/>
        <w:ind w:firstLine="641"/>
        <w:rPr>
          <w:rFonts w:ascii="Times New Roman" w:hAnsi="Times New Roman" w:eastAsia="仿宋_GB2312" w:cs="Times New Roman"/>
          <w:bCs/>
          <w:color w:val="auto"/>
          <w:sz w:val="32"/>
          <w:szCs w:val="32"/>
        </w:rPr>
      </w:pPr>
      <w:r>
        <w:rPr>
          <w:rFonts w:hint="eastAsia" w:ascii="Times New Roman" w:hAnsi="Times New Roman" w:eastAsia="仿宋_GB2312" w:cs="Times New Roman"/>
          <w:b/>
          <w:color w:val="auto"/>
          <w:sz w:val="32"/>
          <w:szCs w:val="32"/>
        </w:rPr>
        <w:t>参评城区：</w:t>
      </w:r>
      <w:r>
        <w:rPr>
          <w:rFonts w:hint="eastAsia" w:ascii="Times New Roman" w:hAnsi="Times New Roman" w:eastAsia="仿宋_GB2312" w:cs="Times New Roman"/>
          <w:bCs/>
          <w:color w:val="auto"/>
          <w:sz w:val="32"/>
          <w:szCs w:val="32"/>
        </w:rPr>
        <w:t>鱼峰区、柳南区、柳江区、柳北区、柳东新区、阳和工业新区（北部生态新区）。</w:t>
      </w:r>
    </w:p>
    <w:p>
      <w:pPr>
        <w:widowControl/>
        <w:shd w:val="clear" w:color="auto" w:fill="FFFFFF"/>
        <w:spacing w:line="560" w:lineRule="exact"/>
        <w:ind w:firstLine="640"/>
        <w:rPr>
          <w:rFonts w:ascii="Times New Roman" w:hAnsi="Times New Roman" w:eastAsia="仿宋_GB2312" w:cs="Times New Roman"/>
          <w:bCs/>
          <w:color w:val="auto"/>
          <w:sz w:val="32"/>
          <w:szCs w:val="32"/>
        </w:rPr>
      </w:pPr>
      <w:r>
        <w:rPr>
          <w:rFonts w:hint="eastAsia" w:ascii="Times New Roman" w:hAnsi="Times New Roman" w:eastAsia="仿宋_GB2312" w:cs="Times New Roman"/>
          <w:b/>
          <w:color w:val="auto"/>
          <w:sz w:val="32"/>
          <w:szCs w:val="32"/>
        </w:rPr>
        <w:t>参评开发区（工业园区）</w:t>
      </w:r>
      <w:r>
        <w:rPr>
          <w:rFonts w:hint="eastAsia" w:ascii="Times New Roman" w:hAnsi="Times New Roman" w:eastAsia="仿宋_GB2312" w:cs="Times New Roman"/>
          <w:bCs/>
          <w:color w:val="auto"/>
          <w:sz w:val="32"/>
          <w:szCs w:val="32"/>
        </w:rPr>
        <w:t>：自治区级及以上开发区（工业园区）批准范围（柳州高新技术产业开发区、广西柳州阳和工业园区、广西鹿寨经济开发区、广西柳州河西高新技术产业开发区、柳州市柳北工业区、柳江区新兴工业园），经自治区工信厅认定的自治区A类、B类产业园区实际管辖范围。（柳城县工业区、融安县工业集中区、柳州市鱼峰区工业园区、融水苗族自治县工业集中区、三江侗族自治县工业园区）</w:t>
      </w:r>
    </w:p>
    <w:p>
      <w:pPr>
        <w:widowControl/>
        <w:shd w:val="clear" w:color="auto" w:fill="FFFFFF"/>
        <w:spacing w:line="56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参评企业：</w:t>
      </w:r>
      <w:r>
        <w:rPr>
          <w:rFonts w:hint="eastAsia" w:ascii="Times New Roman" w:hAnsi="Times New Roman" w:eastAsia="仿宋_GB2312" w:cs="Times New Roman"/>
          <w:bCs/>
          <w:color w:val="auto"/>
          <w:sz w:val="32"/>
          <w:szCs w:val="32"/>
        </w:rPr>
        <w:t>柳南区、柳江区、阳和工业新区（北部生态新区）和柳东新区管理范围内的规模以上的工业企业、物流企业。</w:t>
      </w:r>
      <w:r>
        <w:rPr>
          <w:rFonts w:hint="eastAsia" w:ascii="Times New Roman" w:hAnsi="Times New Roman" w:eastAsia="仿宋_GB2312" w:cs="Times New Roman"/>
          <w:color w:val="auto"/>
          <w:sz w:val="32"/>
          <w:szCs w:val="32"/>
        </w:rPr>
        <w:t>参评企业由领导小组办公室会同市统计局、市工信局、市商务局、柳州市税务局、市自然资源和规划局、各城区人民政府、柳东新区管委会、阳和工业新区（北部生态新区）管委会、各开发区管委会研究确定。</w:t>
      </w:r>
      <w:r>
        <w:rPr>
          <w:rFonts w:hint="eastAsia" w:ascii="Times New Roman" w:hAnsi="Times New Roman" w:eastAsia="仿宋_GB2312" w:cs="Times New Roman"/>
          <w:bCs/>
          <w:color w:val="auto"/>
          <w:sz w:val="32"/>
          <w:szCs w:val="32"/>
        </w:rPr>
        <w:t>（</w:t>
      </w:r>
      <w:r>
        <w:rPr>
          <w:rFonts w:hint="eastAsia" w:ascii="Times New Roman" w:hAnsi="Times New Roman" w:eastAsia="仿宋_GB2312" w:cs="Times New Roman"/>
          <w:color w:val="auto"/>
          <w:kern w:val="0"/>
          <w:sz w:val="32"/>
          <w:szCs w:val="28"/>
        </w:rPr>
        <w:t>首次供地至评价年度的1</w:t>
      </w:r>
      <w:r>
        <w:rPr>
          <w:rFonts w:ascii="Times New Roman" w:hAnsi="Times New Roman" w:eastAsia="仿宋_GB2312" w:cs="Times New Roman"/>
          <w:color w:val="auto"/>
          <w:kern w:val="0"/>
          <w:sz w:val="32"/>
          <w:szCs w:val="28"/>
        </w:rPr>
        <w:t>2</w:t>
      </w:r>
      <w:r>
        <w:rPr>
          <w:rFonts w:hint="eastAsia" w:ascii="Times New Roman" w:hAnsi="Times New Roman" w:eastAsia="仿宋_GB2312" w:cs="Times New Roman"/>
          <w:color w:val="auto"/>
          <w:kern w:val="0"/>
          <w:sz w:val="32"/>
          <w:szCs w:val="28"/>
        </w:rPr>
        <w:t>月3</w:t>
      </w:r>
      <w:r>
        <w:rPr>
          <w:rFonts w:ascii="Times New Roman" w:hAnsi="Times New Roman" w:eastAsia="仿宋_GB2312" w:cs="Times New Roman"/>
          <w:color w:val="auto"/>
          <w:kern w:val="0"/>
          <w:sz w:val="32"/>
          <w:szCs w:val="28"/>
        </w:rPr>
        <w:t>1</w:t>
      </w:r>
      <w:r>
        <w:rPr>
          <w:rFonts w:hint="eastAsia" w:ascii="Times New Roman" w:hAnsi="Times New Roman" w:eastAsia="仿宋_GB2312" w:cs="Times New Roman"/>
          <w:color w:val="auto"/>
          <w:kern w:val="0"/>
          <w:sz w:val="32"/>
          <w:szCs w:val="28"/>
        </w:rPr>
        <w:t>日未满3年的、“小升规”至评价年度的12月31日不满2年的企业原则上不参评。</w:t>
      </w:r>
      <w:r>
        <w:rPr>
          <w:rFonts w:hint="eastAsia" w:ascii="仿宋_GB2312" w:hAnsi="Times New Roman" w:eastAsia="仿宋_GB2312" w:cs="Times New Roman"/>
          <w:bCs/>
          <w:color w:val="auto"/>
          <w:sz w:val="32"/>
          <w:szCs w:val="32"/>
        </w:rPr>
        <w:t>行业代码为</w:t>
      </w:r>
      <w:r>
        <w:rPr>
          <w:rFonts w:ascii="Times New Roman" w:hAnsi="Times New Roman" w:eastAsia="仿宋_GB2312" w:cs="Times New Roman"/>
          <w:bCs/>
          <w:color w:val="auto"/>
          <w:sz w:val="32"/>
          <w:szCs w:val="32"/>
        </w:rPr>
        <w:t>06</w:t>
      </w:r>
      <w:r>
        <w:rPr>
          <w:rFonts w:hint="eastAsia"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12</w:t>
      </w:r>
      <w:r>
        <w:rPr>
          <w:rFonts w:hint="eastAsia"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42</w:t>
      </w:r>
      <w:r>
        <w:rPr>
          <w:rFonts w:hint="eastAsia"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44</w:t>
      </w:r>
      <w:r>
        <w:rPr>
          <w:rFonts w:hint="eastAsia"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46</w:t>
      </w:r>
      <w:r>
        <w:rPr>
          <w:rFonts w:hint="eastAsia" w:ascii="仿宋_GB2312" w:hAnsi="Times New Roman" w:eastAsia="仿宋_GB2312" w:cs="Times New Roman"/>
          <w:bCs/>
          <w:color w:val="auto"/>
          <w:sz w:val="32"/>
          <w:szCs w:val="32"/>
        </w:rPr>
        <w:t>的采矿业、</w:t>
      </w:r>
      <w:r>
        <w:rPr>
          <w:rFonts w:hint="eastAsia" w:ascii="仿宋_GB2312" w:hAnsi="Times New Roman" w:eastAsia="仿宋_GB2312" w:cs="Times New Roman"/>
          <w:color w:val="auto"/>
          <w:kern w:val="0"/>
          <w:sz w:val="32"/>
          <w:szCs w:val="32"/>
        </w:rPr>
        <w:t>废弃资源综合利用业，电力、热力生产和供应业，燃气、水生产和供应业</w:t>
      </w:r>
      <w:r>
        <w:rPr>
          <w:rFonts w:hint="eastAsia" w:ascii="仿宋_GB2312" w:hAnsi="Times New Roman" w:eastAsia="仿宋_GB2312" w:cs="Times New Roman"/>
          <w:bCs/>
          <w:color w:val="auto"/>
          <w:sz w:val="32"/>
          <w:szCs w:val="32"/>
        </w:rPr>
        <w:t>企业不参评</w:t>
      </w:r>
      <w:r>
        <w:rPr>
          <w:rFonts w:hint="eastAsia" w:ascii="Times New Roman" w:hAnsi="Times New Roman" w:eastAsia="仿宋_GB2312" w:cs="Times New Roman"/>
          <w:bCs/>
          <w:color w:val="auto"/>
          <w:sz w:val="32"/>
          <w:szCs w:val="32"/>
        </w:rPr>
        <w:t>）</w:t>
      </w:r>
    </w:p>
    <w:p>
      <w:pPr>
        <w:pStyle w:val="3"/>
        <w:spacing w:after="0" w:line="560" w:lineRule="exact"/>
        <w:ind w:firstLine="643"/>
        <w:jc w:val="both"/>
        <w:outlineLvl w:val="1"/>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（二）评价方法</w:t>
      </w:r>
    </w:p>
    <w:p>
      <w:pPr>
        <w:pStyle w:val="2"/>
        <w:spacing w:line="560" w:lineRule="exact"/>
        <w:ind w:firstLine="643"/>
        <w:jc w:val="both"/>
        <w:outlineLvl w:val="2"/>
        <w:rPr>
          <w:rFonts w:ascii="Times New Roman" w:hAnsi="Times New Roman" w:eastAsia="楷体" w:cs="Times New Roman"/>
          <w:b/>
          <w:color w:val="auto"/>
          <w:szCs w:val="32"/>
        </w:rPr>
      </w:pPr>
      <w:r>
        <w:rPr>
          <w:rFonts w:ascii="Times New Roman" w:hAnsi="Times New Roman" w:eastAsia="楷体" w:cs="Times New Roman"/>
          <w:b/>
          <w:color w:val="auto"/>
          <w:szCs w:val="32"/>
        </w:rPr>
        <w:t>1.</w:t>
      </w:r>
      <w:r>
        <w:rPr>
          <w:rFonts w:hint="eastAsia" w:ascii="Times New Roman" w:hAnsi="Times New Roman" w:eastAsia="楷体" w:cs="Times New Roman"/>
          <w:b/>
          <w:color w:val="auto"/>
          <w:szCs w:val="32"/>
        </w:rPr>
        <w:t>城区评价方法</w:t>
      </w:r>
    </w:p>
    <w:p>
      <w:pPr>
        <w:spacing w:line="560" w:lineRule="exact"/>
        <w:ind w:firstLine="643" w:firstLineChars="200"/>
        <w:rPr>
          <w:rFonts w:ascii="Times New Roman" w:hAnsi="Times New Roman" w:eastAsia="仿宋_GB2312" w:cs="Times New Roman"/>
          <w:b/>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1</w:t>
      </w:r>
      <w:r>
        <w:rPr>
          <w:rFonts w:hint="eastAsia" w:ascii="Times New Roman" w:hAnsi="Times New Roman" w:eastAsia="楷体" w:cs="Times New Roman"/>
          <w:b/>
          <w:color w:val="auto"/>
          <w:sz w:val="32"/>
          <w:szCs w:val="32"/>
        </w:rPr>
        <w:t>）评价指标及权重</w:t>
      </w:r>
      <w:r>
        <w:rPr>
          <w:rFonts w:hint="eastAsia" w:ascii="Times New Roman" w:hAnsi="Times New Roman" w:eastAsia="仿宋_GB2312" w:cs="Times New Roman"/>
          <w:b/>
          <w:color w:val="auto"/>
          <w:sz w:val="32"/>
          <w:szCs w:val="32"/>
        </w:rPr>
        <w:t>。</w:t>
      </w:r>
      <w:r>
        <w:rPr>
          <w:rFonts w:hint="eastAsia" w:ascii="Times New Roman" w:hAnsi="Times New Roman" w:eastAsia="仿宋_GB2312" w:cs="Times New Roman"/>
          <w:color w:val="auto"/>
          <w:sz w:val="32"/>
          <w:szCs w:val="32"/>
        </w:rPr>
        <w:t>设置亩均税收、建设用地亩均</w:t>
      </w:r>
      <w:r>
        <w:rPr>
          <w:rFonts w:ascii="Times New Roman" w:hAnsi="Times New Roman" w:eastAsia="仿宋_GB2312" w:cs="Times New Roman"/>
          <w:color w:val="auto"/>
          <w:sz w:val="32"/>
          <w:szCs w:val="32"/>
        </w:rPr>
        <w:t>GDP</w:t>
      </w:r>
      <w:r>
        <w:rPr>
          <w:rFonts w:hint="eastAsia" w:ascii="Times New Roman" w:hAnsi="Times New Roman" w:eastAsia="仿宋_GB2312" w:cs="Times New Roman"/>
          <w:color w:val="auto"/>
          <w:sz w:val="32"/>
          <w:szCs w:val="32"/>
        </w:rPr>
        <w:t>、亩均工业产值、</w:t>
      </w:r>
      <w:r>
        <w:rPr>
          <w:rFonts w:ascii="Times New Roman" w:hAnsi="Times New Roman" w:eastAsia="仿宋_GB2312" w:cs="Times New Roman"/>
          <w:color w:val="auto"/>
          <w:sz w:val="32"/>
          <w:szCs w:val="32"/>
        </w:rPr>
        <w:t>批而未供土地处置率</w:t>
      </w:r>
      <w:r>
        <w:rPr>
          <w:rFonts w:hint="eastAsia" w:ascii="Times New Roman" w:hAnsi="Times New Roman" w:eastAsia="仿宋_GB2312" w:cs="Times New Roman"/>
          <w:color w:val="auto"/>
          <w:sz w:val="32"/>
          <w:szCs w:val="32"/>
        </w:rPr>
        <w:t>、闲置土地发生率5个指标，权重分别为35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、20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、15%、10%。</w:t>
      </w:r>
    </w:p>
    <w:p>
      <w:pPr>
        <w:pStyle w:val="3"/>
        <w:spacing w:after="0" w:line="560" w:lineRule="exact"/>
        <w:ind w:firstLine="643"/>
        <w:jc w:val="both"/>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2</w:t>
      </w:r>
      <w:r>
        <w:rPr>
          <w:rFonts w:hint="eastAsia" w:ascii="Times New Roman" w:hAnsi="Times New Roman" w:eastAsia="楷体" w:cs="Times New Roman"/>
          <w:b/>
          <w:color w:val="auto"/>
          <w:sz w:val="32"/>
          <w:szCs w:val="32"/>
        </w:rPr>
        <w:t>）指标基准值设置。</w:t>
      </w:r>
      <w:r>
        <w:rPr>
          <w:rFonts w:hint="eastAsia" w:ascii="Times New Roman" w:hAnsi="Times New Roman" w:eastAsia="仿宋_GB2312" w:cs="Times New Roman"/>
          <w:color w:val="auto"/>
          <w:sz w:val="32"/>
          <w:szCs w:val="32"/>
        </w:rPr>
        <w:t>建设用地亩均</w:t>
      </w:r>
      <w:r>
        <w:rPr>
          <w:rFonts w:ascii="Times New Roman" w:hAnsi="Times New Roman" w:eastAsia="仿宋_GB2312" w:cs="Times New Roman"/>
          <w:color w:val="auto"/>
          <w:sz w:val="32"/>
          <w:szCs w:val="32"/>
        </w:rPr>
        <w:t>GDP</w:t>
      </w:r>
      <w:r>
        <w:rPr>
          <w:rFonts w:hint="eastAsia" w:ascii="Times New Roman" w:hAnsi="Times New Roman" w:eastAsia="仿宋_GB2312" w:cs="Times New Roman"/>
          <w:color w:val="auto"/>
          <w:sz w:val="32"/>
          <w:szCs w:val="32"/>
        </w:rPr>
        <w:t>、亩均税收、亩均工业产值、闲置土地发生率基准值根据评价年度指标现状值的算术平均值确定。</w:t>
      </w:r>
    </w:p>
    <w:p>
      <w:pPr>
        <w:pStyle w:val="3"/>
        <w:spacing w:after="0" w:line="560" w:lineRule="exact"/>
        <w:ind w:firstLine="643"/>
        <w:jc w:val="both"/>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3</w:t>
      </w:r>
      <w:r>
        <w:rPr>
          <w:rFonts w:hint="eastAsia" w:ascii="Times New Roman" w:hAnsi="Times New Roman" w:eastAsia="楷体" w:cs="Times New Roman"/>
          <w:b/>
          <w:color w:val="auto"/>
          <w:sz w:val="32"/>
          <w:szCs w:val="32"/>
        </w:rPr>
        <w:t>）单项指标计分。</w:t>
      </w:r>
      <w:r>
        <w:rPr>
          <w:rFonts w:ascii="Times New Roman" w:hAnsi="Times New Roman" w:eastAsia="仿宋_GB2312" w:cs="Times New Roman"/>
          <w:color w:val="auto"/>
          <w:sz w:val="32"/>
          <w:szCs w:val="32"/>
        </w:rPr>
        <w:t>批而未供土地处置率达到年度目标的得10分，每低于目标值0.5个百分点扣0.5分，直至扣完</w:t>
      </w:r>
      <w:r>
        <w:rPr>
          <w:rFonts w:hint="eastAsia" w:ascii="Times New Roman" w:hAnsi="Times New Roman" w:eastAsia="仿宋_GB2312" w:cs="Times New Roman"/>
          <w:color w:val="auto"/>
          <w:sz w:val="32"/>
          <w:szCs w:val="32"/>
        </w:rPr>
        <w:t>。建设用地亩均</w:t>
      </w:r>
      <w:r>
        <w:rPr>
          <w:rFonts w:ascii="Times New Roman" w:hAnsi="Times New Roman" w:eastAsia="仿宋_GB2312" w:cs="Times New Roman"/>
          <w:color w:val="auto"/>
          <w:sz w:val="32"/>
          <w:szCs w:val="32"/>
        </w:rPr>
        <w:t>GDP</w:t>
      </w:r>
      <w:r>
        <w:rPr>
          <w:rFonts w:hint="eastAsia" w:ascii="Times New Roman" w:hAnsi="Times New Roman" w:eastAsia="仿宋_GB2312" w:cs="Times New Roman"/>
          <w:color w:val="auto"/>
          <w:sz w:val="32"/>
          <w:szCs w:val="32"/>
        </w:rPr>
        <w:t>、亩均税收、亩均工业产值、闲置土地发生率指标得分按公式计算：单项指标得分</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指标实际值</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指标基准值</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权重</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w:t>
      </w:r>
    </w:p>
    <w:p>
      <w:pPr>
        <w:pStyle w:val="3"/>
        <w:spacing w:after="0" w:line="560" w:lineRule="exact"/>
        <w:ind w:firstLine="643"/>
        <w:jc w:val="both"/>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4</w:t>
      </w:r>
      <w:r>
        <w:rPr>
          <w:rFonts w:hint="eastAsia" w:ascii="Times New Roman" w:hAnsi="Times New Roman" w:eastAsia="楷体" w:cs="Times New Roman"/>
          <w:b/>
          <w:color w:val="auto"/>
          <w:sz w:val="32"/>
          <w:szCs w:val="32"/>
        </w:rPr>
        <w:t>）综合评价得分。</w:t>
      </w:r>
      <w:r>
        <w:rPr>
          <w:rFonts w:hint="eastAsia" w:ascii="Times New Roman" w:hAnsi="Times New Roman" w:eastAsia="仿宋_GB2312" w:cs="Times New Roman"/>
          <w:color w:val="auto"/>
          <w:sz w:val="32"/>
          <w:szCs w:val="32"/>
        </w:rPr>
        <w:t>综合评价得分</w:t>
      </w:r>
      <w:r>
        <w:rPr>
          <w:rFonts w:ascii="Times New Roman" w:hAnsi="Times New Roman" w:eastAsia="仿宋_GB2312" w:cs="Times New Roman"/>
          <w:color w:val="auto"/>
          <w:sz w:val="32"/>
          <w:szCs w:val="32"/>
        </w:rPr>
        <w:t>=Σ</w:t>
      </w:r>
      <w:r>
        <w:rPr>
          <w:rFonts w:hint="eastAsia" w:ascii="Times New Roman" w:hAnsi="Times New Roman" w:eastAsia="仿宋_GB2312" w:cs="Times New Roman"/>
          <w:color w:val="auto"/>
          <w:sz w:val="32"/>
          <w:szCs w:val="32"/>
        </w:rPr>
        <w:t>单个指标得分。排名靠前的城区存在以下情况之一的，取消获得激励政策的资格：因土地违法问题被自然资源部、自治区政府约谈或问责；当年度违法占用耕地比例超过</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；其他重大土地违法违规情况。</w:t>
      </w:r>
    </w:p>
    <w:p>
      <w:pPr>
        <w:pStyle w:val="3"/>
        <w:spacing w:after="0" w:line="560" w:lineRule="exact"/>
        <w:ind w:firstLine="602"/>
        <w:jc w:val="both"/>
        <w:outlineLvl w:val="2"/>
        <w:rPr>
          <w:rFonts w:ascii="Times New Roman" w:hAnsi="Times New Roman" w:eastAsia="楷体" w:cs="Times New Roman"/>
          <w:b/>
          <w:color w:val="auto"/>
          <w:sz w:val="32"/>
          <w:szCs w:val="32"/>
        </w:rPr>
      </w:pPr>
      <w:r>
        <w:rPr>
          <w:rFonts w:hint="eastAsia" w:ascii="Times New Roman" w:hAnsi="Times New Roman" w:eastAsia="楷体" w:cs="Times New Roman"/>
          <w:b/>
          <w:color w:val="auto"/>
          <w:szCs w:val="32"/>
        </w:rPr>
        <w:t>2</w:t>
      </w:r>
      <w:r>
        <w:rPr>
          <w:rFonts w:ascii="Times New Roman" w:hAnsi="Times New Roman" w:eastAsia="楷体" w:cs="Times New Roman"/>
          <w:b/>
          <w:color w:val="auto"/>
          <w:sz w:val="32"/>
          <w:szCs w:val="32"/>
        </w:rPr>
        <w:t>.</w:t>
      </w:r>
      <w:r>
        <w:rPr>
          <w:rFonts w:hint="eastAsia" w:ascii="Times New Roman" w:hAnsi="Times New Roman" w:eastAsia="楷体" w:cs="Times New Roman"/>
          <w:b/>
          <w:color w:val="auto"/>
          <w:sz w:val="32"/>
          <w:szCs w:val="32"/>
        </w:rPr>
        <w:t>开发区（工业园区）评价方法</w:t>
      </w:r>
    </w:p>
    <w:p>
      <w:pPr>
        <w:spacing w:line="56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1</w:t>
      </w:r>
      <w:r>
        <w:rPr>
          <w:rFonts w:hint="eastAsia" w:ascii="Times New Roman" w:hAnsi="Times New Roman" w:eastAsia="楷体" w:cs="Times New Roman"/>
          <w:b/>
          <w:color w:val="auto"/>
          <w:sz w:val="32"/>
          <w:szCs w:val="32"/>
        </w:rPr>
        <w:t>）评价指标及权重。</w:t>
      </w:r>
      <w:r>
        <w:rPr>
          <w:rFonts w:hint="eastAsia" w:ascii="Times New Roman" w:hAnsi="Times New Roman" w:eastAsia="仿宋_GB2312" w:cs="Times New Roman"/>
          <w:color w:val="auto"/>
          <w:sz w:val="32"/>
          <w:szCs w:val="32"/>
        </w:rPr>
        <w:t>工业主导型开发区（工业园区）设置工业用地亩均税收、亩均工业产值、闲置土地发生率、工业用地固定资产投入强度、亩均工业增加值、综合容积率6个指标，权重分别为35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、25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、10%、10%、</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；产城融合型开发区（工业园区）设置综合地均税收、亩均工业产值、闲置土地发生率、亩均工业增加值、综合容积率5个指标，权重分别为45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、25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、10%、5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pPr>
        <w:spacing w:line="560" w:lineRule="exact"/>
        <w:ind w:firstLine="643" w:firstLineChars="200"/>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2</w:t>
      </w:r>
      <w:r>
        <w:rPr>
          <w:rFonts w:hint="eastAsia" w:ascii="Times New Roman" w:hAnsi="Times New Roman" w:eastAsia="楷体" w:cs="Times New Roman"/>
          <w:b/>
          <w:color w:val="auto"/>
          <w:sz w:val="32"/>
          <w:szCs w:val="32"/>
        </w:rPr>
        <w:t>）指标基准值设置。</w:t>
      </w:r>
      <w:r>
        <w:rPr>
          <w:rFonts w:hint="eastAsia" w:ascii="Times New Roman" w:hAnsi="Times New Roman" w:eastAsia="仿宋_GB2312" w:cs="Times New Roman"/>
          <w:color w:val="auto"/>
          <w:sz w:val="32"/>
          <w:szCs w:val="32"/>
        </w:rPr>
        <w:t>指标基准值依据同类型开发区（工业园区）评价年度指标现状值的算术平均值确定。</w:t>
      </w:r>
    </w:p>
    <w:p>
      <w:pPr>
        <w:pStyle w:val="3"/>
        <w:spacing w:after="0" w:line="560" w:lineRule="exact"/>
        <w:ind w:firstLine="643"/>
        <w:jc w:val="both"/>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3</w:t>
      </w:r>
      <w:r>
        <w:rPr>
          <w:rFonts w:hint="eastAsia" w:ascii="Times New Roman" w:hAnsi="Times New Roman" w:eastAsia="楷体" w:cs="Times New Roman"/>
          <w:b/>
          <w:color w:val="auto"/>
          <w:sz w:val="32"/>
          <w:szCs w:val="32"/>
        </w:rPr>
        <w:t>）单项指标计分。</w:t>
      </w:r>
      <w:r>
        <w:rPr>
          <w:rFonts w:hint="eastAsia" w:ascii="Times New Roman" w:hAnsi="Times New Roman" w:eastAsia="仿宋_GB2312" w:cs="Times New Roman"/>
          <w:color w:val="auto"/>
          <w:sz w:val="32"/>
          <w:szCs w:val="32"/>
        </w:rPr>
        <w:t>单项指标得分</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指标实际值</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指标基准值</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权重</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w:t>
      </w:r>
    </w:p>
    <w:p>
      <w:pPr>
        <w:pStyle w:val="3"/>
        <w:spacing w:after="0" w:line="560" w:lineRule="exact"/>
        <w:ind w:firstLine="643"/>
        <w:jc w:val="both"/>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4</w:t>
      </w:r>
      <w:r>
        <w:rPr>
          <w:rFonts w:hint="eastAsia" w:ascii="Times New Roman" w:hAnsi="Times New Roman" w:eastAsia="楷体" w:cs="Times New Roman"/>
          <w:b/>
          <w:color w:val="auto"/>
          <w:sz w:val="32"/>
          <w:szCs w:val="32"/>
        </w:rPr>
        <w:t>）综合评价得分。</w:t>
      </w:r>
      <w:r>
        <w:rPr>
          <w:rFonts w:hint="eastAsia" w:ascii="Times New Roman" w:hAnsi="Times New Roman" w:eastAsia="仿宋_GB2312" w:cs="Times New Roman"/>
          <w:color w:val="auto"/>
          <w:sz w:val="32"/>
          <w:szCs w:val="32"/>
        </w:rPr>
        <w:t>综合评价得分</w:t>
      </w:r>
      <w:r>
        <w:rPr>
          <w:rFonts w:ascii="Times New Roman" w:hAnsi="Times New Roman" w:eastAsia="仿宋_GB2312" w:cs="Times New Roman"/>
          <w:color w:val="auto"/>
          <w:sz w:val="32"/>
          <w:szCs w:val="32"/>
        </w:rPr>
        <w:t>=Σ</w:t>
      </w:r>
      <w:r>
        <w:rPr>
          <w:rFonts w:hint="eastAsia" w:ascii="Times New Roman" w:hAnsi="Times New Roman" w:eastAsia="仿宋_GB2312" w:cs="Times New Roman"/>
          <w:color w:val="auto"/>
          <w:sz w:val="32"/>
          <w:szCs w:val="32"/>
        </w:rPr>
        <w:t>单个指标得分。排名靠前开发区（工业园区）存在以下情况之一的，取消获得激励政策的资格：因土地违法问题被自然资源部、自治区政府约谈或问责，其他重大土地违法违规情况。</w:t>
      </w:r>
    </w:p>
    <w:p>
      <w:pPr>
        <w:pStyle w:val="3"/>
        <w:spacing w:after="0" w:line="560" w:lineRule="exact"/>
        <w:ind w:firstLine="643"/>
        <w:jc w:val="both"/>
        <w:outlineLvl w:val="2"/>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3</w:t>
      </w:r>
      <w:r>
        <w:rPr>
          <w:rFonts w:ascii="Times New Roman" w:hAnsi="Times New Roman" w:eastAsia="楷体" w:cs="Times New Roman"/>
          <w:b/>
          <w:color w:val="auto"/>
          <w:sz w:val="32"/>
          <w:szCs w:val="32"/>
        </w:rPr>
        <w:t>.</w:t>
      </w:r>
      <w:r>
        <w:rPr>
          <w:rFonts w:hint="eastAsia" w:ascii="Times New Roman" w:hAnsi="Times New Roman" w:eastAsia="楷体" w:cs="Times New Roman"/>
          <w:b/>
          <w:color w:val="auto"/>
          <w:sz w:val="32"/>
          <w:szCs w:val="32"/>
        </w:rPr>
        <w:t>企业评价方法</w:t>
      </w:r>
    </w:p>
    <w:p>
      <w:pPr>
        <w:spacing w:line="56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1</w:t>
      </w:r>
      <w:r>
        <w:rPr>
          <w:rFonts w:hint="eastAsia" w:ascii="Times New Roman" w:hAnsi="Times New Roman" w:eastAsia="楷体" w:cs="Times New Roman"/>
          <w:b/>
          <w:color w:val="auto"/>
          <w:sz w:val="32"/>
          <w:szCs w:val="32"/>
        </w:rPr>
        <w:t>）评价指标及权重。</w:t>
      </w:r>
      <w:r>
        <w:rPr>
          <w:rFonts w:hint="eastAsia" w:ascii="Times New Roman" w:hAnsi="Times New Roman" w:eastAsia="仿宋_GB2312" w:cs="Times New Roman"/>
          <w:color w:val="auto"/>
          <w:sz w:val="32"/>
          <w:szCs w:val="32"/>
        </w:rPr>
        <w:t>工业企业设置亩均税收、亩均产值、亩均工业增加值、单位能耗产值、单位主要污染物排放当量增加值、就业贡献度、研发经费投入强度</w:t>
      </w: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个指标，权重分别为</w:t>
      </w:r>
      <w:r>
        <w:rPr>
          <w:rFonts w:ascii="Times New Roman" w:hAnsi="Times New Roman" w:eastAsia="仿宋_GB2312" w:cs="Times New Roman"/>
          <w:color w:val="auto"/>
          <w:sz w:val="32"/>
          <w:szCs w:val="32"/>
        </w:rPr>
        <w:t>35%</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25</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、5%；物流企业设置亩均税收、亩均营业收入、就业贡献度</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个指标，权重分别为</w:t>
      </w:r>
      <w:r>
        <w:rPr>
          <w:rFonts w:ascii="Times New Roman" w:hAnsi="Times New Roman" w:eastAsia="仿宋_GB2312" w:cs="Times New Roman"/>
          <w:color w:val="auto"/>
          <w:sz w:val="32"/>
          <w:szCs w:val="32"/>
        </w:rPr>
        <w:t>50%</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40%</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w:t>
      </w:r>
    </w:p>
    <w:p>
      <w:pPr>
        <w:pStyle w:val="3"/>
        <w:spacing w:after="0" w:line="560" w:lineRule="exact"/>
        <w:ind w:firstLine="643"/>
        <w:jc w:val="both"/>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2</w:t>
      </w:r>
      <w:r>
        <w:rPr>
          <w:rFonts w:hint="eastAsia" w:ascii="Times New Roman" w:hAnsi="Times New Roman" w:eastAsia="楷体" w:cs="Times New Roman"/>
          <w:b/>
          <w:color w:val="auto"/>
          <w:sz w:val="32"/>
          <w:szCs w:val="32"/>
        </w:rPr>
        <w:t>）指标基准值设置。</w:t>
      </w:r>
      <w:r>
        <w:rPr>
          <w:rFonts w:hint="eastAsia" w:ascii="Times New Roman" w:hAnsi="Times New Roman" w:eastAsia="仿宋_GB2312" w:cs="Times New Roman"/>
          <w:color w:val="auto"/>
          <w:sz w:val="31"/>
        </w:rPr>
        <w:t>指标基准值依据参评企业评价年度</w:t>
      </w:r>
      <w:r>
        <w:rPr>
          <w:rFonts w:hint="eastAsia" w:ascii="Times New Roman" w:hAnsi="Times New Roman" w:eastAsia="仿宋_GB2312" w:cs="Times New Roman"/>
          <w:color w:val="auto"/>
          <w:sz w:val="32"/>
          <w:szCs w:val="32"/>
        </w:rPr>
        <w:t>指标现状值</w:t>
      </w:r>
      <w:r>
        <w:rPr>
          <w:rFonts w:hint="eastAsia" w:ascii="Times New Roman" w:hAnsi="Times New Roman" w:eastAsia="仿宋_GB2312" w:cs="Times New Roman"/>
          <w:color w:val="auto"/>
          <w:sz w:val="31"/>
        </w:rPr>
        <w:t>的算术平均值确定。</w:t>
      </w:r>
    </w:p>
    <w:p>
      <w:pPr>
        <w:snapToGrid w:val="0"/>
        <w:spacing w:line="560" w:lineRule="exact"/>
        <w:ind w:firstLine="643"/>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3</w:t>
      </w:r>
      <w:r>
        <w:rPr>
          <w:rFonts w:hint="eastAsia" w:ascii="Times New Roman" w:hAnsi="Times New Roman" w:eastAsia="楷体" w:cs="Times New Roman"/>
          <w:b/>
          <w:color w:val="auto"/>
          <w:sz w:val="32"/>
          <w:szCs w:val="32"/>
        </w:rPr>
        <w:t>）单项指标计分。</w:t>
      </w:r>
      <w:r>
        <w:rPr>
          <w:rFonts w:hint="eastAsia" w:ascii="Times New Roman" w:hAnsi="Times New Roman" w:eastAsia="仿宋_GB2312" w:cs="Times New Roman"/>
          <w:color w:val="auto"/>
          <w:sz w:val="32"/>
          <w:szCs w:val="32"/>
        </w:rPr>
        <w:t>单项指标得分</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指标实际值</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指标基准值</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权重</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。单项指标得分最低</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分，指标实际值为负值或空缺的，按</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分计算。对单位主要污染物排放当量增加值指标，有主要污染物排放当量数据的企业按指标实际值计分，无主要污染物排放当量数据的企业，按指标基准值计分。</w:t>
      </w:r>
      <w:r>
        <w:rPr>
          <w:rFonts w:hint="eastAsia" w:ascii="Times New Roman" w:hAnsi="Times New Roman" w:eastAsia="仿宋_GB2312" w:cs="Times New Roman"/>
          <w:color w:val="auto"/>
          <w:sz w:val="31"/>
        </w:rPr>
        <w:t>单项指标最高得分不超过按</w:t>
      </w:r>
      <w:r>
        <w:rPr>
          <w:rFonts w:hint="eastAsia" w:ascii="Times New Roman" w:hAnsi="Times New Roman" w:eastAsia="仿宋_GB2312" w:cs="Times New Roman"/>
          <w:color w:val="auto"/>
          <w:sz w:val="32"/>
          <w:szCs w:val="32"/>
        </w:rPr>
        <w:t>指标基准值计分</w:t>
      </w:r>
      <w:r>
        <w:rPr>
          <w:rFonts w:hint="eastAsia" w:ascii="Times New Roman" w:hAnsi="Times New Roman" w:eastAsia="仿宋_GB2312" w:cs="Times New Roman"/>
          <w:color w:val="auto"/>
          <w:sz w:val="31"/>
        </w:rPr>
        <w:t>的</w:t>
      </w:r>
      <w:r>
        <w:rPr>
          <w:rFonts w:ascii="Times New Roman" w:hAnsi="Times New Roman" w:eastAsia="仿宋_GB2312" w:cs="Times New Roman"/>
          <w:color w:val="auto"/>
          <w:sz w:val="31"/>
        </w:rPr>
        <w:t>1.5</w:t>
      </w:r>
      <w:r>
        <w:rPr>
          <w:rFonts w:hint="eastAsia" w:ascii="Times New Roman" w:hAnsi="Times New Roman" w:eastAsia="仿宋_GB2312" w:cs="Times New Roman"/>
          <w:color w:val="auto"/>
          <w:sz w:val="31"/>
        </w:rPr>
        <w:t>倍，最低为</w:t>
      </w:r>
      <w:r>
        <w:rPr>
          <w:rFonts w:ascii="Times New Roman" w:hAnsi="Times New Roman" w:eastAsia="仿宋_GB2312" w:cs="Times New Roman"/>
          <w:color w:val="auto"/>
          <w:sz w:val="31"/>
        </w:rPr>
        <w:t>0</w:t>
      </w:r>
      <w:r>
        <w:rPr>
          <w:rFonts w:hint="eastAsia" w:ascii="Times New Roman" w:hAnsi="Times New Roman" w:eastAsia="仿宋_GB2312" w:cs="Times New Roman"/>
          <w:color w:val="auto"/>
          <w:sz w:val="31"/>
        </w:rPr>
        <w:t>分。</w:t>
      </w:r>
    </w:p>
    <w:p>
      <w:pPr>
        <w:pStyle w:val="3"/>
        <w:spacing w:after="0" w:line="560" w:lineRule="exact"/>
        <w:ind w:firstLine="643"/>
        <w:jc w:val="both"/>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4</w:t>
      </w:r>
      <w:r>
        <w:rPr>
          <w:rFonts w:hint="eastAsia" w:ascii="Times New Roman" w:hAnsi="Times New Roman" w:eastAsia="楷体" w:cs="Times New Roman"/>
          <w:b/>
          <w:color w:val="auto"/>
          <w:sz w:val="32"/>
          <w:szCs w:val="32"/>
        </w:rPr>
        <w:t>）加分或减分。</w:t>
      </w:r>
      <w:r>
        <w:rPr>
          <w:rFonts w:hint="eastAsia" w:ascii="Times New Roman" w:hAnsi="Times New Roman" w:eastAsia="仿宋_GB2312" w:cs="Times New Roman"/>
          <w:color w:val="auto"/>
          <w:sz w:val="32"/>
          <w:szCs w:val="32"/>
        </w:rPr>
        <w:t>依据加分项或减分项及计分规则，加分、减分各自累计不超过10分。</w:t>
      </w:r>
    </w:p>
    <w:p>
      <w:pPr>
        <w:pStyle w:val="3"/>
        <w:spacing w:after="0" w:line="560" w:lineRule="exact"/>
        <w:ind w:firstLine="643"/>
        <w:jc w:val="both"/>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w:t>
      </w:r>
      <w:r>
        <w:rPr>
          <w:rFonts w:ascii="Times New Roman" w:hAnsi="Times New Roman" w:eastAsia="楷体" w:cs="Times New Roman"/>
          <w:b/>
          <w:color w:val="auto"/>
          <w:sz w:val="32"/>
          <w:szCs w:val="32"/>
        </w:rPr>
        <w:t>5</w:t>
      </w:r>
      <w:r>
        <w:rPr>
          <w:rFonts w:hint="eastAsia" w:ascii="Times New Roman" w:hAnsi="Times New Roman" w:eastAsia="楷体" w:cs="Times New Roman"/>
          <w:b/>
          <w:color w:val="auto"/>
          <w:sz w:val="32"/>
          <w:szCs w:val="32"/>
        </w:rPr>
        <w:t>）综合评价得分。</w:t>
      </w:r>
      <w:r>
        <w:rPr>
          <w:rFonts w:hint="eastAsia" w:ascii="Times New Roman" w:hAnsi="Times New Roman" w:eastAsia="仿宋_GB2312" w:cs="Times New Roman"/>
          <w:color w:val="auto"/>
          <w:sz w:val="32"/>
          <w:szCs w:val="32"/>
        </w:rPr>
        <w:t>综合评价得分</w:t>
      </w:r>
      <w:r>
        <w:rPr>
          <w:rFonts w:ascii="Times New Roman" w:hAnsi="Times New Roman" w:eastAsia="仿宋_GB2312" w:cs="Times New Roman"/>
          <w:color w:val="auto"/>
          <w:sz w:val="32"/>
          <w:szCs w:val="32"/>
        </w:rPr>
        <w:t>=Σ</w:t>
      </w:r>
      <w:r>
        <w:rPr>
          <w:rFonts w:hint="eastAsia" w:ascii="Times New Roman" w:hAnsi="Times New Roman" w:eastAsia="仿宋_GB2312" w:cs="Times New Roman"/>
          <w:color w:val="auto"/>
          <w:sz w:val="32"/>
          <w:szCs w:val="32"/>
        </w:rPr>
        <w:t>单个指标得分＋加分项－减分项。</w:t>
      </w:r>
    </w:p>
    <w:p>
      <w:pPr>
        <w:pStyle w:val="3"/>
        <w:spacing w:after="0" w:line="560" w:lineRule="exact"/>
        <w:ind w:firstLine="643"/>
        <w:jc w:val="both"/>
        <w:outlineLvl w:val="1"/>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（三）评价流程</w:t>
      </w:r>
    </w:p>
    <w:p>
      <w:pPr>
        <w:widowControl/>
        <w:shd w:val="clear" w:color="auto" w:fill="FFFFFF"/>
        <w:spacing w:line="56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基础数据收集审核。</w:t>
      </w:r>
      <w:r>
        <w:rPr>
          <w:rFonts w:hint="eastAsia" w:ascii="仿宋_GB2312" w:hAnsi="Times New Roman" w:eastAsia="仿宋_GB2312" w:cs="Times New Roman"/>
          <w:color w:val="auto"/>
          <w:sz w:val="32"/>
          <w:szCs w:val="32"/>
        </w:rPr>
        <w:t>参评城区、</w:t>
      </w:r>
      <w:r>
        <w:rPr>
          <w:rFonts w:hint="eastAsia" w:ascii="Times New Roman" w:hAnsi="Times New Roman" w:eastAsia="仿宋_GB2312" w:cs="Times New Roman"/>
          <w:color w:val="auto"/>
          <w:sz w:val="32"/>
          <w:szCs w:val="32"/>
        </w:rPr>
        <w:t>开发区（工业园区）基础数据由城区、开发区（工业园区）核算规则对应部门提供和审核（附件3、附件4）</w:t>
      </w:r>
      <w:r>
        <w:rPr>
          <w:rFonts w:hint="eastAsia" w:ascii="仿宋_GB2312" w:hAnsi="Times New Roman" w:eastAsia="仿宋_GB2312" w:cs="Times New Roman"/>
          <w:color w:val="auto"/>
          <w:kern w:val="0"/>
          <w:sz w:val="32"/>
        </w:rPr>
        <w:t>；</w:t>
      </w:r>
      <w:r>
        <w:rPr>
          <w:rFonts w:hint="eastAsia" w:ascii="Times New Roman" w:hAnsi="Times New Roman" w:eastAsia="仿宋_GB2312" w:cs="Times New Roman"/>
          <w:b/>
          <w:color w:val="auto"/>
          <w:sz w:val="32"/>
          <w:szCs w:val="32"/>
        </w:rPr>
        <w:t>柳州市税务局</w:t>
      </w:r>
      <w:r>
        <w:rPr>
          <w:rFonts w:hint="eastAsia" w:ascii="Times New Roman" w:hAnsi="Times New Roman" w:eastAsia="仿宋_GB2312" w:cs="Times New Roman"/>
          <w:color w:val="auto"/>
          <w:sz w:val="32"/>
          <w:szCs w:val="32"/>
        </w:rPr>
        <w:t>提供参评企业税收数据；</w:t>
      </w:r>
      <w:r>
        <w:rPr>
          <w:rFonts w:hint="eastAsia" w:ascii="Times New Roman" w:hAnsi="Times New Roman" w:eastAsia="仿宋_GB2312" w:cs="Times New Roman"/>
          <w:b/>
          <w:color w:val="auto"/>
          <w:sz w:val="32"/>
          <w:szCs w:val="32"/>
        </w:rPr>
        <w:t>市自然资源和规划局</w:t>
      </w:r>
      <w:r>
        <w:rPr>
          <w:rFonts w:hint="eastAsia" w:ascii="Times New Roman" w:hAnsi="Times New Roman" w:eastAsia="仿宋_GB2312" w:cs="Times New Roman"/>
          <w:color w:val="auto"/>
          <w:sz w:val="32"/>
          <w:szCs w:val="32"/>
        </w:rPr>
        <w:t>提供已完成供地手续的参评企业用地数据及不动产登记数据；</w:t>
      </w:r>
      <w:r>
        <w:rPr>
          <w:rFonts w:hint="eastAsia" w:ascii="Times New Roman" w:hAnsi="Times New Roman" w:eastAsia="仿宋_GB2312" w:cs="Times New Roman"/>
          <w:b/>
          <w:bCs/>
          <w:color w:val="auto"/>
          <w:kern w:val="0"/>
          <w:sz w:val="32"/>
          <w:szCs w:val="32"/>
        </w:rPr>
        <w:t>各城</w:t>
      </w:r>
      <w:r>
        <w:rPr>
          <w:rFonts w:hint="eastAsia" w:ascii="Times New Roman" w:hAnsi="Times New Roman" w:eastAsia="仿宋_GB2312" w:cs="Times New Roman"/>
          <w:b/>
          <w:bCs/>
          <w:color w:val="auto"/>
          <w:sz w:val="32"/>
          <w:szCs w:val="32"/>
        </w:rPr>
        <w:t>区人民政府</w:t>
      </w:r>
      <w:r>
        <w:rPr>
          <w:rFonts w:hint="eastAsia" w:ascii="Times New Roman" w:hAnsi="Times New Roman" w:eastAsia="仿宋_GB2312" w:cs="Times New Roman"/>
          <w:b/>
          <w:color w:val="auto"/>
          <w:sz w:val="32"/>
          <w:szCs w:val="32"/>
        </w:rPr>
        <w:t>、柳东新区管委会、阳和工业新区（北部生态新区）管委会、各开发区管委会</w:t>
      </w:r>
      <w:r>
        <w:rPr>
          <w:rFonts w:hint="eastAsia" w:ascii="Times New Roman" w:hAnsi="Times New Roman" w:eastAsia="仿宋_GB2312" w:cs="Times New Roman"/>
          <w:color w:val="auto"/>
          <w:sz w:val="32"/>
          <w:szCs w:val="32"/>
        </w:rPr>
        <w:t>组织辖区参评企业提供用地数据，核实参评企业土地（厂房）承租、出租数据；</w:t>
      </w:r>
      <w:r>
        <w:rPr>
          <w:rFonts w:hint="eastAsia" w:ascii="Times New Roman" w:hAnsi="Times New Roman" w:eastAsia="仿宋_GB2312" w:cs="Times New Roman"/>
          <w:b/>
          <w:color w:val="auto"/>
          <w:sz w:val="32"/>
          <w:szCs w:val="32"/>
        </w:rPr>
        <w:t>市统计局提供</w:t>
      </w:r>
      <w:r>
        <w:rPr>
          <w:rFonts w:hint="eastAsia" w:ascii="Times New Roman" w:hAnsi="Times New Roman" w:eastAsia="仿宋_GB2312" w:cs="Times New Roman"/>
          <w:color w:val="auto"/>
          <w:sz w:val="32"/>
          <w:szCs w:val="32"/>
        </w:rPr>
        <w:t>参评企业经济数据；</w:t>
      </w:r>
      <w:r>
        <w:rPr>
          <w:rFonts w:hint="eastAsia" w:ascii="Times New Roman" w:hAnsi="Times New Roman" w:eastAsia="仿宋_GB2312" w:cs="Times New Roman"/>
          <w:b/>
          <w:color w:val="auto"/>
          <w:sz w:val="32"/>
          <w:szCs w:val="32"/>
        </w:rPr>
        <w:t>市生态环境局</w:t>
      </w:r>
      <w:r>
        <w:rPr>
          <w:rFonts w:hint="eastAsia" w:ascii="Times New Roman" w:hAnsi="Times New Roman" w:eastAsia="仿宋_GB2312" w:cs="Times New Roman"/>
          <w:color w:val="auto"/>
          <w:sz w:val="32"/>
          <w:szCs w:val="32"/>
        </w:rPr>
        <w:t>提供参评企业主要污染物排放数据；</w:t>
      </w:r>
      <w:r>
        <w:rPr>
          <w:rFonts w:hint="eastAsia" w:ascii="Times New Roman" w:hAnsi="Times New Roman" w:eastAsia="仿宋_GB2312" w:cs="Times New Roman"/>
          <w:b/>
          <w:color w:val="auto"/>
          <w:sz w:val="32"/>
          <w:szCs w:val="32"/>
        </w:rPr>
        <w:t>市人社局</w:t>
      </w:r>
      <w:r>
        <w:rPr>
          <w:rFonts w:hint="eastAsia" w:ascii="Times New Roman" w:hAnsi="Times New Roman" w:eastAsia="仿宋_GB2312" w:cs="Times New Roman"/>
          <w:color w:val="auto"/>
          <w:sz w:val="32"/>
          <w:szCs w:val="32"/>
        </w:rPr>
        <w:t>提供参评企业年末</w:t>
      </w:r>
      <w:r>
        <w:rPr>
          <w:rFonts w:hint="eastAsia" w:ascii="Times New Roman" w:hAnsi="Times New Roman" w:eastAsia="仿宋_GB2312" w:cs="Times New Roman"/>
          <w:color w:val="auto"/>
          <w:kern w:val="0"/>
          <w:sz w:val="32"/>
          <w:szCs w:val="32"/>
        </w:rPr>
        <w:t>参保人数</w:t>
      </w:r>
      <w:r>
        <w:rPr>
          <w:rFonts w:hint="eastAsia" w:ascii="Times New Roman" w:hAnsi="Times New Roman" w:eastAsia="仿宋_GB2312" w:cs="Times New Roman"/>
          <w:color w:val="auto"/>
          <w:sz w:val="32"/>
          <w:szCs w:val="32"/>
        </w:rPr>
        <w:t>；涉及加分、减分及提档、降档数据由对应部门提供（附件6、附件7）。</w:t>
      </w:r>
      <w:r>
        <w:rPr>
          <w:rFonts w:hint="eastAsia" w:ascii="Times New Roman" w:hAnsi="Times New Roman" w:eastAsia="仿宋_GB2312" w:cs="Times New Roman"/>
          <w:b/>
          <w:color w:val="auto"/>
          <w:sz w:val="32"/>
          <w:szCs w:val="32"/>
        </w:rPr>
        <w:t>领导小组办公室</w:t>
      </w:r>
      <w:r>
        <w:rPr>
          <w:rFonts w:hint="eastAsia" w:ascii="Times New Roman" w:hAnsi="Times New Roman" w:eastAsia="仿宋_GB2312" w:cs="Times New Roman"/>
          <w:color w:val="auto"/>
          <w:sz w:val="32"/>
          <w:szCs w:val="32"/>
        </w:rPr>
        <w:t>汇总审核基础数据，数据缺失或异常的，组织数据提供部门补充完善基础数据。</w:t>
      </w:r>
    </w:p>
    <w:p>
      <w:pPr>
        <w:pStyle w:val="2"/>
        <w:spacing w:line="560" w:lineRule="exact"/>
        <w:ind w:firstLine="643"/>
        <w:jc w:val="both"/>
        <w:rPr>
          <w:rFonts w:ascii="Times New Roman" w:hAnsi="Times New Roman" w:eastAsia="宋体" w:cs="Times New Roman"/>
          <w:color w:val="auto"/>
          <w:sz w:val="24"/>
          <w:szCs w:val="24"/>
        </w:rPr>
      </w:pPr>
      <w:r>
        <w:rPr>
          <w:rFonts w:hint="eastAsia" w:ascii="Times New Roman" w:hAnsi="Times New Roman" w:eastAsia="楷体" w:cs="Times New Roman"/>
          <w:b/>
          <w:color w:val="auto"/>
          <w:kern w:val="2"/>
          <w:szCs w:val="32"/>
        </w:rPr>
        <w:t>企业复核确认。</w:t>
      </w:r>
      <w:r>
        <w:rPr>
          <w:rFonts w:hint="eastAsia" w:ascii="Times New Roman" w:hAnsi="Times New Roman" w:eastAsia="仿宋_GB2312" w:cs="Times New Roman"/>
          <w:color w:val="auto"/>
          <w:kern w:val="2"/>
          <w:szCs w:val="32"/>
        </w:rPr>
        <w:t>数据收集</w:t>
      </w:r>
      <w:r>
        <w:rPr>
          <w:rFonts w:hint="eastAsia" w:ascii="Times New Roman" w:hAnsi="Times New Roman" w:eastAsia="仿宋_GB2312" w:cs="Times New Roman"/>
          <w:color w:val="auto"/>
          <w:szCs w:val="32"/>
        </w:rPr>
        <w:t>核实</w:t>
      </w:r>
      <w:r>
        <w:rPr>
          <w:rFonts w:hint="eastAsia" w:ascii="Times New Roman" w:hAnsi="Times New Roman" w:eastAsia="仿宋_GB2312" w:cs="Times New Roman"/>
          <w:color w:val="auto"/>
          <w:kern w:val="2"/>
          <w:szCs w:val="32"/>
        </w:rPr>
        <w:t>后，</w:t>
      </w:r>
      <w:r>
        <w:rPr>
          <w:rFonts w:hint="eastAsia" w:ascii="Times New Roman" w:hAnsi="Times New Roman" w:eastAsia="仿宋_GB2312" w:cs="Times New Roman"/>
          <w:b/>
          <w:color w:val="auto"/>
          <w:szCs w:val="32"/>
        </w:rPr>
        <w:t>领导小组办公室</w:t>
      </w:r>
      <w:r>
        <w:rPr>
          <w:rFonts w:hint="eastAsia" w:ascii="Times New Roman" w:hAnsi="Times New Roman" w:eastAsia="仿宋_GB2312" w:cs="Times New Roman"/>
          <w:color w:val="auto"/>
          <w:kern w:val="2"/>
          <w:szCs w:val="32"/>
        </w:rPr>
        <w:t>整理形成“一企一档”基础数据，</w:t>
      </w:r>
      <w:r>
        <w:rPr>
          <w:rFonts w:hint="eastAsia" w:ascii="Times New Roman" w:hAnsi="Times New Roman" w:eastAsia="仿宋_GB2312" w:cs="Times New Roman"/>
          <w:b/>
          <w:bCs/>
          <w:color w:val="auto"/>
          <w:szCs w:val="32"/>
        </w:rPr>
        <w:t>各城区人民政府</w:t>
      </w:r>
      <w:r>
        <w:rPr>
          <w:rFonts w:hint="eastAsia" w:ascii="Times New Roman" w:hAnsi="Times New Roman" w:eastAsia="仿宋_GB2312" w:cs="Times New Roman"/>
          <w:b/>
          <w:color w:val="auto"/>
          <w:szCs w:val="32"/>
        </w:rPr>
        <w:t>、柳东新区管委会、阳和工业新区（北部生态新区）管委会、各</w:t>
      </w:r>
      <w:r>
        <w:rPr>
          <w:rFonts w:hint="eastAsia" w:ascii="Times New Roman" w:hAnsi="Times New Roman" w:eastAsia="仿宋_GB2312" w:cs="Times New Roman"/>
          <w:b/>
          <w:color w:val="auto"/>
          <w:kern w:val="2"/>
          <w:szCs w:val="32"/>
        </w:rPr>
        <w:t>开发区</w:t>
      </w:r>
      <w:r>
        <w:rPr>
          <w:rFonts w:hint="eastAsia" w:ascii="Times New Roman" w:hAnsi="Times New Roman" w:eastAsia="仿宋_GB2312" w:cs="Times New Roman"/>
          <w:b/>
          <w:color w:val="auto"/>
          <w:szCs w:val="32"/>
        </w:rPr>
        <w:t>管委会</w:t>
      </w:r>
      <w:r>
        <w:rPr>
          <w:rFonts w:hint="eastAsia" w:ascii="Times New Roman" w:hAnsi="Times New Roman" w:eastAsia="仿宋_GB2312" w:cs="Times New Roman"/>
          <w:color w:val="auto"/>
          <w:kern w:val="2"/>
          <w:szCs w:val="32"/>
        </w:rPr>
        <w:t>组织辖区参评企业复核确认基础数据。企业对数据存在异议的，提交佐证资料至对应数据提供部门复核；确需修改的，数据提供部门予以调整并反馈至</w:t>
      </w:r>
      <w:r>
        <w:rPr>
          <w:rFonts w:hint="eastAsia" w:ascii="Times New Roman" w:hAnsi="Times New Roman" w:eastAsia="仿宋_GB2312" w:cs="Times New Roman"/>
          <w:b/>
          <w:bCs/>
          <w:color w:val="auto"/>
          <w:kern w:val="2"/>
          <w:szCs w:val="32"/>
        </w:rPr>
        <w:t>领导小组办公室</w:t>
      </w:r>
      <w:r>
        <w:rPr>
          <w:rFonts w:hint="eastAsia" w:ascii="Times New Roman" w:hAnsi="Times New Roman" w:eastAsia="仿宋_GB2312" w:cs="Times New Roman"/>
          <w:color w:val="auto"/>
          <w:kern w:val="2"/>
          <w:szCs w:val="32"/>
        </w:rPr>
        <w:t>；不符合修改条件的，数据提供部门向企业做好反馈和解释。</w:t>
      </w:r>
    </w:p>
    <w:p>
      <w:pPr>
        <w:widowControl/>
        <w:shd w:val="clear" w:color="auto" w:fill="FFFFFF"/>
        <w:spacing w:line="560"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实施综合评价。</w:t>
      </w:r>
      <w:r>
        <w:rPr>
          <w:rFonts w:hint="eastAsia" w:ascii="Times New Roman" w:hAnsi="Times New Roman" w:eastAsia="仿宋_GB2312" w:cs="Times New Roman"/>
          <w:color w:val="auto"/>
          <w:sz w:val="32"/>
          <w:szCs w:val="32"/>
        </w:rPr>
        <w:t>基础数据核实确认后，</w:t>
      </w:r>
      <w:r>
        <w:rPr>
          <w:rFonts w:hint="eastAsia" w:ascii="Times New Roman" w:hAnsi="Times New Roman" w:eastAsia="仿宋_GB2312" w:cs="Times New Roman"/>
          <w:b/>
          <w:color w:val="auto"/>
          <w:sz w:val="32"/>
          <w:szCs w:val="32"/>
        </w:rPr>
        <w:t>领导小组办公室</w:t>
      </w:r>
      <w:r>
        <w:rPr>
          <w:rFonts w:hint="eastAsia" w:ascii="Times New Roman" w:hAnsi="Times New Roman" w:eastAsia="仿宋_GB2312" w:cs="Times New Roman"/>
          <w:color w:val="auto"/>
          <w:sz w:val="32"/>
          <w:szCs w:val="32"/>
        </w:rPr>
        <w:t>负责汇总整理基础数据，根据评价方法计算参评对象得分。</w:t>
      </w:r>
    </w:p>
    <w:p>
      <w:pPr>
        <w:pStyle w:val="3"/>
        <w:spacing w:after="0" w:line="560" w:lineRule="exact"/>
        <w:ind w:firstLine="641" w:firstLineChars="0"/>
        <w:jc w:val="both"/>
        <w:outlineLvl w:val="1"/>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（四）评价结果分类</w:t>
      </w:r>
    </w:p>
    <w:p>
      <w:pPr>
        <w:pStyle w:val="3"/>
        <w:spacing w:after="0" w:line="560" w:lineRule="exact"/>
        <w:ind w:firstLine="641" w:firstLineChars="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城区评价结果根据综合评分高低排名。开发区（工业园区）评价结果分工业主导型、产城融合型两类根据综合评分高低排名。评价结果作为分类激励约束政策实施的重要依据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sz w:val="32"/>
          <w:szCs w:val="32"/>
          <w:lang w:val="en-US" w:eastAsia="zh-CN"/>
        </w:rPr>
        <w:t>评价结果有效期为一年。</w:t>
      </w:r>
    </w:p>
    <w:p>
      <w:pPr>
        <w:pStyle w:val="3"/>
        <w:spacing w:after="0" w:line="560" w:lineRule="exact"/>
        <w:ind w:firstLine="641" w:firstLineChars="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企业评价结果分工业企业、物流企业两类根据综合评价得分高低排名。排名按比例分</w:t>
      </w:r>
      <w:r>
        <w:rPr>
          <w:rFonts w:ascii="Times New Roman" w:hAnsi="Times New Roman" w:eastAsia="仿宋_GB2312" w:cs="Times New Roman"/>
          <w:color w:val="auto"/>
          <w:sz w:val="32"/>
          <w:szCs w:val="32"/>
        </w:rPr>
        <w:t>ABCD</w:t>
      </w:r>
      <w:r>
        <w:rPr>
          <w:rFonts w:hint="eastAsia" w:ascii="Times New Roman" w:hAnsi="Times New Roman" w:eastAsia="仿宋_GB2312" w:cs="Times New Roman"/>
          <w:color w:val="auto"/>
          <w:sz w:val="32"/>
          <w:szCs w:val="32"/>
        </w:rPr>
        <w:t>四类（四档），其中</w:t>
      </w:r>
      <w:r>
        <w:rPr>
          <w:rFonts w:ascii="Times New Roman" w:hAnsi="Times New Roman" w:eastAsia="仿宋_GB2312" w:cs="Times New Roman"/>
          <w:color w:val="auto"/>
          <w:sz w:val="32"/>
          <w:szCs w:val="32"/>
        </w:rPr>
        <w:t>A</w:t>
      </w:r>
      <w:r>
        <w:rPr>
          <w:rFonts w:hint="eastAsia" w:ascii="Times New Roman" w:hAnsi="Times New Roman" w:eastAsia="仿宋_GB2312" w:cs="Times New Roman"/>
          <w:color w:val="auto"/>
          <w:sz w:val="32"/>
          <w:szCs w:val="32"/>
        </w:rPr>
        <w:t>类为优先扶持类，</w:t>
      </w:r>
      <w:r>
        <w:rPr>
          <w:rFonts w:ascii="Times New Roman" w:hAnsi="Times New Roman" w:eastAsia="仿宋_GB2312" w:cs="Times New Roman"/>
          <w:color w:val="auto"/>
          <w:sz w:val="32"/>
          <w:szCs w:val="32"/>
        </w:rPr>
        <w:t>B</w:t>
      </w:r>
      <w:r>
        <w:rPr>
          <w:rFonts w:hint="eastAsia" w:ascii="Times New Roman" w:hAnsi="Times New Roman" w:eastAsia="仿宋_GB2312" w:cs="Times New Roman"/>
          <w:color w:val="auto"/>
          <w:sz w:val="32"/>
          <w:szCs w:val="32"/>
        </w:rPr>
        <w:t>类为鼓励提升类，</w:t>
      </w:r>
      <w:r>
        <w:rPr>
          <w:rFonts w:ascii="Times New Roman" w:hAnsi="Times New Roman" w:eastAsia="仿宋_GB2312" w:cs="Times New Roman"/>
          <w:color w:val="auto"/>
          <w:sz w:val="32"/>
          <w:szCs w:val="32"/>
        </w:rPr>
        <w:t>C</w:t>
      </w:r>
      <w:r>
        <w:rPr>
          <w:rFonts w:hint="eastAsia" w:ascii="Times New Roman" w:hAnsi="Times New Roman" w:eastAsia="仿宋_GB2312" w:cs="Times New Roman"/>
          <w:color w:val="auto"/>
          <w:sz w:val="32"/>
          <w:szCs w:val="32"/>
        </w:rPr>
        <w:t>类为调整转型类，</w:t>
      </w:r>
      <w:r>
        <w:rPr>
          <w:rFonts w:ascii="Times New Roman" w:hAnsi="Times New Roman" w:eastAsia="仿宋_GB2312" w:cs="Times New Roman"/>
          <w:color w:val="auto"/>
          <w:sz w:val="32"/>
          <w:szCs w:val="32"/>
        </w:rPr>
        <w:t>D</w:t>
      </w:r>
      <w:r>
        <w:rPr>
          <w:rFonts w:hint="eastAsia" w:ascii="Times New Roman" w:hAnsi="Times New Roman" w:eastAsia="仿宋_GB2312" w:cs="Times New Roman"/>
          <w:color w:val="auto"/>
          <w:sz w:val="32"/>
          <w:szCs w:val="32"/>
        </w:rPr>
        <w:t>类为限制倒逼类。</w:t>
      </w:r>
      <w:r>
        <w:rPr>
          <w:rFonts w:ascii="Times New Roman" w:hAnsi="Times New Roman" w:eastAsia="仿宋_GB2312" w:cs="Times New Roman"/>
          <w:color w:val="auto"/>
          <w:sz w:val="32"/>
          <w:szCs w:val="32"/>
        </w:rPr>
        <w:t>A</w:t>
      </w:r>
      <w:r>
        <w:rPr>
          <w:rFonts w:hint="eastAsia" w:ascii="Times New Roman" w:hAnsi="Times New Roman" w:eastAsia="仿宋_GB2312" w:cs="Times New Roman"/>
          <w:color w:val="auto"/>
          <w:sz w:val="32"/>
          <w:szCs w:val="32"/>
        </w:rPr>
        <w:t>类比例为排名前</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（含</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B</w:t>
      </w:r>
      <w:r>
        <w:rPr>
          <w:rFonts w:hint="eastAsia" w:ascii="Times New Roman" w:hAnsi="Times New Roman" w:eastAsia="仿宋_GB2312" w:cs="Times New Roman"/>
          <w:color w:val="auto"/>
          <w:sz w:val="32"/>
          <w:szCs w:val="32"/>
        </w:rPr>
        <w:t>类比例为排名前</w:t>
      </w:r>
      <w:r>
        <w:rPr>
          <w:rFonts w:ascii="Times New Roman" w:hAnsi="Times New Roman" w:eastAsia="仿宋_GB2312" w:cs="Times New Roman"/>
          <w:color w:val="auto"/>
          <w:sz w:val="32"/>
          <w:szCs w:val="32"/>
        </w:rPr>
        <w:t>21%</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70%</w:t>
      </w:r>
      <w:r>
        <w:rPr>
          <w:rFonts w:hint="eastAsia" w:ascii="Times New Roman" w:hAnsi="Times New Roman" w:eastAsia="仿宋_GB2312" w:cs="Times New Roman"/>
          <w:color w:val="auto"/>
          <w:sz w:val="32"/>
          <w:szCs w:val="32"/>
        </w:rPr>
        <w:t>（含</w:t>
      </w:r>
      <w:r>
        <w:rPr>
          <w:rFonts w:ascii="Times New Roman" w:hAnsi="Times New Roman" w:eastAsia="仿宋_GB2312" w:cs="Times New Roman"/>
          <w:color w:val="auto"/>
          <w:sz w:val="32"/>
          <w:szCs w:val="32"/>
        </w:rPr>
        <w:t>70%</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C</w:t>
      </w:r>
      <w:r>
        <w:rPr>
          <w:rFonts w:hint="eastAsia" w:ascii="Times New Roman" w:hAnsi="Times New Roman" w:eastAsia="仿宋_GB2312" w:cs="Times New Roman"/>
          <w:color w:val="auto"/>
          <w:sz w:val="32"/>
          <w:szCs w:val="32"/>
        </w:rPr>
        <w:t>类比例为排名前</w:t>
      </w:r>
      <w:r>
        <w:rPr>
          <w:rFonts w:ascii="Times New Roman" w:hAnsi="Times New Roman" w:eastAsia="仿宋_GB2312" w:cs="Times New Roman"/>
          <w:color w:val="auto"/>
          <w:sz w:val="32"/>
          <w:szCs w:val="32"/>
        </w:rPr>
        <w:t>71%</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95%</w:t>
      </w:r>
      <w:r>
        <w:rPr>
          <w:rFonts w:hint="eastAsia" w:ascii="Times New Roman" w:hAnsi="Times New Roman" w:eastAsia="仿宋_GB2312" w:cs="Times New Roman"/>
          <w:color w:val="auto"/>
          <w:sz w:val="32"/>
          <w:szCs w:val="32"/>
        </w:rPr>
        <w:t>（含</w:t>
      </w:r>
      <w:r>
        <w:rPr>
          <w:rFonts w:ascii="Times New Roman" w:hAnsi="Times New Roman" w:eastAsia="仿宋_GB2312" w:cs="Times New Roman"/>
          <w:color w:val="auto"/>
          <w:sz w:val="32"/>
          <w:szCs w:val="32"/>
        </w:rPr>
        <w:t>95%</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D</w:t>
      </w:r>
      <w:r>
        <w:rPr>
          <w:rFonts w:hint="eastAsia" w:ascii="Times New Roman" w:hAnsi="Times New Roman" w:eastAsia="仿宋_GB2312" w:cs="Times New Roman"/>
          <w:color w:val="auto"/>
          <w:sz w:val="32"/>
          <w:szCs w:val="32"/>
        </w:rPr>
        <w:t>类比例为排名前</w:t>
      </w:r>
      <w:r>
        <w:rPr>
          <w:rFonts w:ascii="Times New Roman" w:hAnsi="Times New Roman" w:eastAsia="仿宋_GB2312" w:cs="Times New Roman"/>
          <w:color w:val="auto"/>
          <w:sz w:val="32"/>
          <w:szCs w:val="32"/>
        </w:rPr>
        <w:t>96%</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100%</w:t>
      </w:r>
      <w:r>
        <w:rPr>
          <w:rFonts w:hint="eastAsia" w:ascii="Times New Roman" w:hAnsi="Times New Roman" w:eastAsia="仿宋_GB2312" w:cs="Times New Roman"/>
          <w:color w:val="auto"/>
          <w:sz w:val="32"/>
          <w:szCs w:val="32"/>
        </w:rPr>
        <w:t>。同时，结合产业、税收、安全生产等，设置提档、降档规则，对分类结果适度调整，提档、降档企业不占用企业分类比例。最终分类结果作为差别化资源配置政策实施的重要依据。</w:t>
      </w:r>
    </w:p>
    <w:p>
      <w:pPr>
        <w:spacing w:line="560" w:lineRule="exact"/>
        <w:ind w:firstLine="643" w:firstLineChars="200"/>
        <w:outlineLvl w:val="1"/>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（五）建立综合评价数据库</w:t>
      </w:r>
    </w:p>
    <w:p>
      <w:pPr>
        <w:pStyle w:val="3"/>
        <w:spacing w:after="0" w:line="560" w:lineRule="exact"/>
        <w:ind w:firstLine="64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加强基础数据归集更新，保证数据的准确性、完整性和时效性，建立“亩均效益”综合评价数据库，充分利用综合评价数据资源，加强数据分类分级共享和数据分析研判应用，为资源要素差别化配置政策制定、实施等提供支撑依据。</w:t>
      </w:r>
    </w:p>
    <w:p>
      <w:pPr>
        <w:spacing w:line="560" w:lineRule="exact"/>
        <w:ind w:firstLine="643" w:firstLineChars="200"/>
        <w:outlineLvl w:val="0"/>
        <w:rPr>
          <w:rFonts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rPr>
        <w:t>三、实施分类激励约束政策</w:t>
      </w:r>
    </w:p>
    <w:p>
      <w:pPr>
        <w:spacing w:line="560" w:lineRule="exact"/>
        <w:ind w:firstLine="643" w:firstLineChars="200"/>
        <w:outlineLvl w:val="1"/>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（一）区域分类激励约束</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价年度排名靠前的城区通报表扬，给予财政资金奖励；在统筹新增建设用地指标时给予优先保障，上级有奖励指标时考虑优先保障，在评优评先、耕地占补平衡指标统筹、增减挂钩节约指标交易、主要污染物总量减排核算等方面给予倾斜；督促排名落后的城区追赶先进。评价年度排名靠前的开发区（工业园区）通报表扬，给予财政资金奖励，在开发区（工业园区）扩区、调区、升级等方面优先给予支持；排名落后开发区（工业园区）原则上一年内暂不支持扩区、升级。</w:t>
      </w:r>
    </w:p>
    <w:p>
      <w:pPr>
        <w:spacing w:line="560" w:lineRule="exact"/>
        <w:ind w:firstLine="643" w:firstLineChars="200"/>
        <w:outlineLvl w:val="1"/>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（二）企业分类激励约束</w:t>
      </w:r>
    </w:p>
    <w:p>
      <w:pPr>
        <w:widowControl/>
        <w:shd w:val="clear" w:color="auto" w:fill="FFFFFF"/>
        <w:spacing w:line="560" w:lineRule="exact"/>
        <w:ind w:firstLine="641"/>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充分运用评价结果，领导小组办公室和各相关部门按职责分工依法依规探索</w:t>
      </w:r>
      <w:r>
        <w:rPr>
          <w:rFonts w:hint="eastAsia" w:ascii="Times New Roman" w:hAnsi="Times New Roman" w:eastAsia="仿宋_GB2312" w:cs="Times New Roman"/>
          <w:sz w:val="32"/>
          <w:szCs w:val="32"/>
          <w:lang w:val="en-US" w:eastAsia="zh-CN"/>
        </w:rPr>
        <w:t>实行</w:t>
      </w:r>
      <w:r>
        <w:rPr>
          <w:rFonts w:hint="eastAsia" w:ascii="Times New Roman" w:hAnsi="Times New Roman" w:eastAsia="仿宋_GB2312" w:cs="Times New Roman"/>
          <w:sz w:val="32"/>
          <w:szCs w:val="32"/>
        </w:rPr>
        <w:t>激励和约束措施，</w:t>
      </w:r>
      <w:r>
        <w:rPr>
          <w:rFonts w:hint="eastAsia" w:ascii="Times New Roman" w:hAnsi="Times New Roman" w:eastAsia="仿宋_GB2312" w:cs="Times New Roman"/>
          <w:sz w:val="32"/>
          <w:szCs w:val="32"/>
          <w:lang w:val="en-US" w:eastAsia="zh-CN"/>
        </w:rPr>
        <w:t>制定并出台</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类企业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类企业</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差别化用地、用能、排污、信贷等要素配置政策</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rPr>
        <w:t>依照</w:t>
      </w:r>
      <w:r>
        <w:rPr>
          <w:rFonts w:hint="eastAsia" w:ascii="Times New Roman" w:hAnsi="Times New Roman" w:eastAsia="仿宋_GB2312" w:cs="Times New Roman"/>
          <w:sz w:val="32"/>
          <w:szCs w:val="32"/>
          <w:lang w:val="en-US" w:eastAsia="zh-CN"/>
        </w:rPr>
        <w:t>实行。</w:t>
      </w:r>
    </w:p>
    <w:p>
      <w:pPr>
        <w:widowControl/>
        <w:shd w:val="clear" w:color="auto" w:fill="FFFFFF"/>
        <w:spacing w:line="560" w:lineRule="exact"/>
        <w:ind w:firstLine="643" w:firstLineChars="200"/>
        <w:outlineLvl w:val="0"/>
        <w:rPr>
          <w:rFonts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rPr>
        <w:t>四、工作安排</w:t>
      </w:r>
    </w:p>
    <w:p>
      <w:pPr>
        <w:pStyle w:val="3"/>
        <w:spacing w:after="0" w:line="560" w:lineRule="exact"/>
        <w:ind w:firstLine="640" w:firstLineChars="0"/>
        <w:jc w:val="both"/>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（一）前期准备阶段</w:t>
      </w:r>
    </w:p>
    <w:p>
      <w:pPr>
        <w:pStyle w:val="3"/>
        <w:spacing w:after="0" w:line="560" w:lineRule="exact"/>
        <w:ind w:firstLine="640" w:firstLineChars="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2023</w:t>
      </w:r>
      <w:r>
        <w:rPr>
          <w:rFonts w:hint="eastAsia" w:ascii="Times New Roman" w:hAnsi="Times New Roman" w:eastAsia="仿宋_GB2312" w:cs="Times New Roman"/>
          <w:color w:val="auto"/>
          <w:kern w:val="2"/>
          <w:sz w:val="32"/>
          <w:szCs w:val="32"/>
        </w:rPr>
        <w:t>年</w:t>
      </w:r>
      <w:r>
        <w:rPr>
          <w:rFonts w:hint="eastAsia" w:ascii="Times New Roman" w:hAnsi="Times New Roman" w:eastAsia="仿宋_GB2312" w:cs="Times New Roman"/>
          <w:color w:val="auto"/>
          <w:kern w:val="2"/>
          <w:sz w:val="32"/>
          <w:szCs w:val="32"/>
          <w:lang w:val="en-US" w:eastAsia="zh-CN"/>
        </w:rPr>
        <w:t>8</w:t>
      </w:r>
      <w:r>
        <w:rPr>
          <w:rFonts w:hint="eastAsia" w:ascii="Times New Roman" w:hAnsi="Times New Roman" w:eastAsia="仿宋_GB2312" w:cs="Times New Roman"/>
          <w:color w:val="auto"/>
          <w:kern w:val="2"/>
          <w:sz w:val="32"/>
          <w:szCs w:val="32"/>
        </w:rPr>
        <w:t>月底前，明确试点工作评价范围、工作任务、工作目标等，制定实施方案，成立领导机构、落实责任分工，细化保障措施，</w:t>
      </w:r>
      <w:r>
        <w:rPr>
          <w:rFonts w:hint="eastAsia" w:ascii="Times New Roman" w:hAnsi="Times New Roman" w:eastAsia="仿宋_GB2312" w:cs="Times New Roman"/>
          <w:color w:val="auto"/>
          <w:sz w:val="32"/>
          <w:szCs w:val="32"/>
        </w:rPr>
        <w:t>实施方案经市人民政府审核后，</w:t>
      </w:r>
      <w:r>
        <w:rPr>
          <w:rFonts w:hint="eastAsia" w:ascii="Times New Roman" w:hAnsi="Times New Roman" w:eastAsia="仿宋_GB2312" w:cs="Times New Roman"/>
          <w:color w:val="auto"/>
          <w:kern w:val="2"/>
          <w:sz w:val="32"/>
          <w:szCs w:val="32"/>
        </w:rPr>
        <w:t>报送自治区自然资源厅。</w:t>
      </w:r>
    </w:p>
    <w:p>
      <w:pPr>
        <w:pStyle w:val="3"/>
        <w:spacing w:after="0" w:line="560" w:lineRule="exact"/>
        <w:ind w:firstLine="643"/>
        <w:jc w:val="both"/>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（二）开展评价阶段</w:t>
      </w:r>
    </w:p>
    <w:p>
      <w:pPr>
        <w:pStyle w:val="3"/>
        <w:spacing w:after="0" w:line="56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2023</w:t>
      </w:r>
      <w:r>
        <w:rPr>
          <w:rFonts w:hint="eastAsia" w:ascii="Times New Roman" w:hAnsi="Times New Roman" w:eastAsia="仿宋_GB2312" w:cs="Times New Roman"/>
          <w:color w:val="auto"/>
          <w:kern w:val="2"/>
          <w:sz w:val="32"/>
          <w:szCs w:val="32"/>
        </w:rPr>
        <w:t>年8月至</w:t>
      </w:r>
      <w:r>
        <w:rPr>
          <w:rFonts w:ascii="Times New Roman" w:hAnsi="Times New Roman" w:eastAsia="仿宋_GB2312" w:cs="Times New Roman"/>
          <w:color w:val="auto"/>
          <w:kern w:val="2"/>
          <w:sz w:val="32"/>
          <w:szCs w:val="32"/>
        </w:rPr>
        <w:t>11</w:t>
      </w:r>
      <w:r>
        <w:rPr>
          <w:rFonts w:hint="eastAsia" w:ascii="Times New Roman" w:hAnsi="Times New Roman" w:eastAsia="仿宋_GB2312" w:cs="Times New Roman"/>
          <w:color w:val="auto"/>
          <w:kern w:val="2"/>
          <w:sz w:val="32"/>
          <w:szCs w:val="32"/>
        </w:rPr>
        <w:t>月，组织开展城区、开发区（工业园区）、企业“亩均效益”综合评价工作，收集审核、汇总整理评价数据资料，计算综合评价得分，形成评价结果。</w:t>
      </w:r>
    </w:p>
    <w:p>
      <w:pPr>
        <w:pStyle w:val="3"/>
        <w:spacing w:after="0" w:line="560" w:lineRule="exact"/>
        <w:ind w:firstLine="643"/>
        <w:jc w:val="both"/>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（三）公示公布阶段</w:t>
      </w:r>
    </w:p>
    <w:p>
      <w:pPr>
        <w:pStyle w:val="3"/>
        <w:spacing w:after="0" w:line="56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2023</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12</w:t>
      </w:r>
      <w:r>
        <w:rPr>
          <w:rFonts w:hint="eastAsia" w:ascii="Times New Roman" w:hAnsi="Times New Roman" w:eastAsia="仿宋_GB2312" w:cs="Times New Roman"/>
          <w:color w:val="auto"/>
          <w:kern w:val="2"/>
          <w:sz w:val="32"/>
          <w:szCs w:val="32"/>
        </w:rPr>
        <w:t>月，对评价结果进行</w:t>
      </w:r>
      <w:r>
        <w:rPr>
          <w:rFonts w:ascii="Times New Roman" w:hAnsi="Times New Roman" w:eastAsia="仿宋_GB2312" w:cs="Times New Roman"/>
          <w:color w:val="auto"/>
          <w:kern w:val="2"/>
          <w:sz w:val="32"/>
          <w:szCs w:val="32"/>
        </w:rPr>
        <w:t>5</w:t>
      </w:r>
      <w:r>
        <w:rPr>
          <w:rFonts w:hint="eastAsia" w:ascii="Times New Roman" w:hAnsi="Times New Roman" w:eastAsia="仿宋_GB2312" w:cs="Times New Roman"/>
          <w:color w:val="auto"/>
          <w:kern w:val="2"/>
          <w:sz w:val="32"/>
          <w:szCs w:val="32"/>
        </w:rPr>
        <w:t>个工作日的公示，公示无异议并经市人民政府审定后在政府官网予以公布。</w:t>
      </w:r>
    </w:p>
    <w:p>
      <w:pPr>
        <w:pStyle w:val="3"/>
        <w:spacing w:after="0" w:line="560" w:lineRule="exact"/>
        <w:ind w:firstLine="643"/>
        <w:jc w:val="both"/>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（四）差别措施实施阶段</w:t>
      </w:r>
    </w:p>
    <w:p>
      <w:pPr>
        <w:pStyle w:val="3"/>
        <w:spacing w:after="0" w:line="56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2023</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12</w:t>
      </w:r>
      <w:r>
        <w:rPr>
          <w:rFonts w:hint="eastAsia" w:ascii="Times New Roman" w:hAnsi="Times New Roman" w:eastAsia="仿宋_GB2312" w:cs="Times New Roman"/>
          <w:color w:val="auto"/>
          <w:kern w:val="2"/>
          <w:sz w:val="32"/>
          <w:szCs w:val="32"/>
        </w:rPr>
        <w:t>月，根据城区、开发区（工业园区）、企业评价分类结果实施相应激励约束措施。</w:t>
      </w:r>
    </w:p>
    <w:p>
      <w:pPr>
        <w:spacing w:line="560" w:lineRule="exact"/>
        <w:ind w:firstLine="643" w:firstLineChars="200"/>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（五）试点成果总结阶段</w:t>
      </w:r>
    </w:p>
    <w:p>
      <w:pPr>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2024</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月底前，总结试点工作成效及经验，梳理试点做法，分析遇到的问题，提出完善综合评价工作的意见和建议，形成试点工作总结性报告。</w:t>
      </w:r>
    </w:p>
    <w:p>
      <w:pPr>
        <w:snapToGrid w:val="0"/>
        <w:spacing w:line="560" w:lineRule="exact"/>
        <w:ind w:firstLine="643" w:firstLineChars="200"/>
        <w:outlineLvl w:val="0"/>
        <w:rPr>
          <w:rFonts w:ascii="黑体" w:hAnsi="黑体" w:eastAsia="黑体" w:cs="Times New Roman"/>
          <w:b/>
          <w:color w:val="auto"/>
          <w:sz w:val="32"/>
          <w:szCs w:val="32"/>
        </w:rPr>
      </w:pPr>
      <w:r>
        <w:rPr>
          <w:rFonts w:hint="eastAsia" w:ascii="黑体" w:hAnsi="黑体" w:eastAsia="黑体" w:cs="Times New Roman"/>
          <w:b/>
          <w:color w:val="auto"/>
          <w:sz w:val="32"/>
          <w:szCs w:val="32"/>
        </w:rPr>
        <w:t>五、组织分工</w:t>
      </w:r>
    </w:p>
    <w:p>
      <w:pPr>
        <w:widowControl/>
        <w:snapToGrid w:val="0"/>
        <w:spacing w:line="560" w:lineRule="exact"/>
        <w:ind w:firstLine="643" w:firstLineChars="200"/>
        <w:outlineLvl w:val="1"/>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（一）成立领导机构</w:t>
      </w:r>
    </w:p>
    <w:p>
      <w:pPr>
        <w:widowControl/>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了稳步推进“亩均效益”综合评价试点工作，成立以市人民政府分管副市长为组长，市人民政府副秘书长及主要部门负责人为副组长，相关部门主要负责人为成员的“亩均效益”评价工作领导小组（名单附后）。领导小组负责“亩均效益”综合评价试点工作的总体谋划、统筹协调、实施推进，经验总结。领导小组下设办公室（领导小组办公室），设在市自然资源和规划局，负责领导小组日常工作。</w:t>
      </w:r>
    </w:p>
    <w:p>
      <w:pPr>
        <w:widowControl/>
        <w:snapToGrid w:val="0"/>
        <w:spacing w:line="560" w:lineRule="exact"/>
        <w:ind w:firstLine="643" w:firstLineChars="200"/>
        <w:outlineLvl w:val="1"/>
        <w:rPr>
          <w:rFonts w:ascii="Times New Roman" w:hAnsi="Times New Roman" w:eastAsia="楷体" w:cs="Times New Roman"/>
          <w:b/>
          <w:color w:val="auto"/>
          <w:sz w:val="32"/>
          <w:szCs w:val="32"/>
        </w:rPr>
      </w:pPr>
      <w:r>
        <w:rPr>
          <w:rFonts w:hint="eastAsia" w:ascii="Times New Roman" w:hAnsi="Times New Roman" w:eastAsia="楷体" w:cs="Times New Roman"/>
          <w:b/>
          <w:color w:val="auto"/>
          <w:sz w:val="32"/>
          <w:szCs w:val="32"/>
        </w:rPr>
        <w:t>（二）相关部门职责</w:t>
      </w:r>
    </w:p>
    <w:p>
      <w:pPr>
        <w:pStyle w:val="2"/>
        <w:spacing w:line="560" w:lineRule="exact"/>
        <w:ind w:firstLine="640"/>
        <w:rPr>
          <w:rFonts w:ascii="Times New Roman" w:hAnsi="Times New Roman" w:eastAsia="仿宋_GB2312" w:cs="Times New Roman"/>
          <w:color w:val="auto"/>
          <w:kern w:val="2"/>
          <w:szCs w:val="32"/>
        </w:rPr>
      </w:pPr>
      <w:r>
        <w:rPr>
          <w:rFonts w:hint="eastAsia" w:ascii="Times New Roman" w:hAnsi="Times New Roman" w:eastAsia="仿宋_GB2312" w:cs="Times New Roman"/>
          <w:color w:val="auto"/>
          <w:kern w:val="2"/>
          <w:szCs w:val="32"/>
        </w:rPr>
        <w:t>领导小组办公室负责制定并发布评价实施办法，定期对评价工作落实情况进行调度、通报，牵头研究确定参评企业名单，组织、协调各部门、各开发区（工业园区）开展亩均效益评价和评价结果应用工作。领导小组办公室下设用地数据采集工作组、经济数据采集工作组、差别化政策措施制定工作组等</w:t>
      </w:r>
      <w:r>
        <w:rPr>
          <w:rFonts w:ascii="Times New Roman" w:hAnsi="Times New Roman" w:eastAsia="仿宋_GB2312" w:cs="Times New Roman"/>
          <w:color w:val="auto"/>
          <w:kern w:val="2"/>
          <w:szCs w:val="32"/>
        </w:rPr>
        <w:t>3</w:t>
      </w:r>
      <w:r>
        <w:rPr>
          <w:rFonts w:hint="eastAsia" w:ascii="Times New Roman" w:hAnsi="Times New Roman" w:eastAsia="仿宋_GB2312" w:cs="Times New Roman"/>
          <w:color w:val="auto"/>
          <w:kern w:val="2"/>
          <w:szCs w:val="32"/>
        </w:rPr>
        <w:t>个工作组开展具体工作。</w:t>
      </w:r>
    </w:p>
    <w:p>
      <w:pPr>
        <w:pStyle w:val="2"/>
        <w:spacing w:line="560" w:lineRule="exact"/>
        <w:ind w:firstLine="643"/>
        <w:rPr>
          <w:rFonts w:ascii="Times New Roman" w:hAnsi="Times New Roman" w:eastAsia="仿宋_GB2312" w:cs="Times New Roman"/>
          <w:color w:val="auto"/>
          <w:kern w:val="2"/>
          <w:szCs w:val="32"/>
        </w:rPr>
      </w:pPr>
      <w:r>
        <w:rPr>
          <w:rFonts w:hint="eastAsia" w:ascii="Times New Roman" w:hAnsi="Times New Roman" w:eastAsia="仿宋_GB2312" w:cs="Times New Roman"/>
          <w:b/>
          <w:color w:val="auto"/>
          <w:kern w:val="2"/>
          <w:szCs w:val="32"/>
        </w:rPr>
        <w:t>用地数据采集工作组</w:t>
      </w:r>
      <w:r>
        <w:rPr>
          <w:rFonts w:hint="eastAsia" w:ascii="Times New Roman" w:hAnsi="Times New Roman" w:eastAsia="仿宋_GB2312" w:cs="Times New Roman"/>
          <w:color w:val="auto"/>
          <w:kern w:val="2"/>
          <w:szCs w:val="32"/>
        </w:rPr>
        <w:t>负责采集参评城区、开发区（工业园区）建设用地、闲置土地、批地和供地、计容建筑面积等数据；收集核实参评企业用地数据</w:t>
      </w:r>
      <w:r>
        <w:rPr>
          <w:rFonts w:hint="eastAsia" w:ascii="Times New Roman" w:hAnsi="Times New Roman" w:eastAsia="仿宋_GB2312" w:cs="Times New Roman"/>
          <w:color w:val="auto"/>
          <w:szCs w:val="32"/>
        </w:rPr>
        <w:t>。</w:t>
      </w:r>
      <w:r>
        <w:rPr>
          <w:rFonts w:hint="eastAsia" w:ascii="Times New Roman" w:hAnsi="Times New Roman" w:eastAsia="仿宋_GB2312" w:cs="Times New Roman"/>
          <w:b/>
          <w:color w:val="auto"/>
          <w:szCs w:val="32"/>
        </w:rPr>
        <w:t>经济数据采集工作组</w:t>
      </w:r>
      <w:r>
        <w:rPr>
          <w:rFonts w:hint="eastAsia" w:ascii="Times New Roman" w:hAnsi="Times New Roman" w:eastAsia="仿宋_GB2312" w:cs="Times New Roman"/>
          <w:color w:val="auto"/>
          <w:szCs w:val="32"/>
        </w:rPr>
        <w:t>负责采集参评城区、开发区（工业园区）产值、税收等数据；收集参评企业产值、税收、营业收入、能耗、污染物排放、参保人数等经济数据，以及加分减分项、提档降档规则数据。</w:t>
      </w:r>
      <w:r>
        <w:rPr>
          <w:rFonts w:hint="eastAsia" w:ascii="Times New Roman" w:hAnsi="Times New Roman" w:eastAsia="仿宋_GB2312" w:cs="Times New Roman"/>
          <w:b/>
          <w:color w:val="auto"/>
          <w:szCs w:val="32"/>
        </w:rPr>
        <w:t>差别化政策措施制定工作组</w:t>
      </w:r>
      <w:r>
        <w:rPr>
          <w:rFonts w:hint="eastAsia" w:ascii="Times New Roman" w:hAnsi="Times New Roman" w:eastAsia="仿宋_GB2312" w:cs="Times New Roman"/>
          <w:color w:val="auto"/>
          <w:szCs w:val="32"/>
        </w:rPr>
        <w:t>负责</w:t>
      </w:r>
      <w:r>
        <w:rPr>
          <w:rFonts w:hint="eastAsia" w:ascii="Times New Roman" w:hAnsi="Times New Roman" w:eastAsia="仿宋_GB2312" w:cs="Times New Roman"/>
          <w:color w:val="auto"/>
          <w:kern w:val="2"/>
          <w:szCs w:val="32"/>
        </w:rPr>
        <w:t>研究制定参评城区、开发区（工业园区）区域分类激励约束措施；研究制定和实施参评企业在</w:t>
      </w:r>
      <w:r>
        <w:rPr>
          <w:rFonts w:hint="eastAsia" w:ascii="Times New Roman" w:hAnsi="Times New Roman" w:eastAsia="仿宋_GB2312" w:cs="Times New Roman"/>
          <w:color w:val="auto"/>
          <w:szCs w:val="32"/>
        </w:rPr>
        <w:t>用地、用能、排污、信</w:t>
      </w:r>
      <w:r>
        <w:rPr>
          <w:rFonts w:hint="eastAsia" w:ascii="Times New Roman" w:hAnsi="Times New Roman" w:eastAsia="仿宋_GB2312" w:cs="Times New Roman"/>
          <w:color w:val="auto"/>
          <w:kern w:val="2"/>
          <w:szCs w:val="32"/>
        </w:rPr>
        <w:t>贷等方面的差别化资源要素具体配置措施。各工作组既要各司其职，又要相互配合、共同推进，确保按时完成各项工作任务。</w:t>
      </w:r>
    </w:p>
    <w:p>
      <w:pPr>
        <w:pStyle w:val="2"/>
        <w:ind w:firstLine="643"/>
        <w:outlineLvl w:val="0"/>
        <w:rPr>
          <w:rFonts w:ascii="Times New Roman" w:hAnsi="Times New Roman" w:eastAsia="黑体" w:cs="Times New Roman"/>
          <w:color w:val="auto"/>
          <w:szCs w:val="32"/>
        </w:rPr>
      </w:pPr>
      <w:r>
        <w:rPr>
          <w:rFonts w:hint="eastAsia" w:ascii="Times New Roman" w:hAnsi="Times New Roman" w:eastAsia="黑体" w:cs="Times New Roman"/>
          <w:b/>
          <w:color w:val="auto"/>
          <w:szCs w:val="32"/>
        </w:rPr>
        <w:t>六、保障措施</w:t>
      </w:r>
    </w:p>
    <w:p>
      <w:pPr>
        <w:snapToGrid w:val="0"/>
        <w:spacing w:line="560" w:lineRule="exact"/>
        <w:ind w:firstLine="643" w:firstLineChars="200"/>
        <w:outlineLvl w:val="1"/>
        <w:rPr>
          <w:rFonts w:ascii="Times New Roman" w:hAnsi="Times New Roman" w:eastAsia="仿宋_GB2312" w:cs="Times New Roman"/>
          <w:color w:val="auto"/>
          <w:sz w:val="32"/>
          <w:szCs w:val="32"/>
        </w:rPr>
      </w:pPr>
      <w:r>
        <w:rPr>
          <w:rFonts w:hint="eastAsia" w:ascii="Times New Roman" w:hAnsi="Times New Roman" w:eastAsia="楷体" w:cs="Times New Roman"/>
          <w:b/>
          <w:color w:val="auto"/>
          <w:sz w:val="32"/>
          <w:szCs w:val="32"/>
        </w:rPr>
        <w:t>（一）强化责任落实</w:t>
      </w:r>
    </w:p>
    <w:p>
      <w:pPr>
        <w:widowControl/>
        <w:shd w:val="clear" w:color="auto" w:fill="FFFFFF"/>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市“亩均效益”评价工作领导小组成员单位及其他有关单位根据职责分工，相互配合，形成工作合力，严格按照时间节点，切实抓好组织实施，确保工作落实到位。各部门要做好数据的采集和核实工作，确保数据提供及时准确，建立基础数据台帐，实时更新、实时调取。各城区、开发区（工业园区）要积极主动探索“亩均效益”评价结果应用，采取各种措施不断提升用地“亩均效益”，领导小组将适时对各城区、开发区（工业园区）的“亩均效益”提升情况开展考核。</w:t>
      </w:r>
    </w:p>
    <w:p>
      <w:pPr>
        <w:pStyle w:val="3"/>
        <w:spacing w:after="0" w:line="560" w:lineRule="exact"/>
        <w:ind w:firstLine="643"/>
        <w:jc w:val="both"/>
        <w:outlineLvl w:val="1"/>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（二）保障数据安全</w:t>
      </w:r>
    </w:p>
    <w:p>
      <w:pPr>
        <w:spacing w:line="560" w:lineRule="exact"/>
        <w:ind w:firstLine="640" w:firstLineChars="200"/>
        <w:rPr>
          <w:rFonts w:ascii="Times New Roman" w:hAnsi="Times New Roman" w:eastAsia="仿宋_GB2312" w:cs="Times New Roman"/>
          <w:b/>
          <w:color w:val="auto"/>
          <w:sz w:val="32"/>
          <w:szCs w:val="32"/>
        </w:rPr>
      </w:pPr>
      <w:r>
        <w:rPr>
          <w:rFonts w:hint="eastAsia" w:ascii="Times New Roman" w:hAnsi="Times New Roman" w:eastAsia="仿宋_GB2312" w:cs="Times New Roman"/>
          <w:color w:val="auto"/>
          <w:sz w:val="32"/>
          <w:szCs w:val="32"/>
        </w:rPr>
        <w:t>按照“谁主管、谁统计、谁负责”的原则，加强数据统计、保密、核实和上报等工作，加强数据信息安全管理，保障数据信息安全。评价结果主要为各级政府部门制定政策提供参考；基础数据、过程数据严格保密，未经相关部门同意，不得对外公布。评价结果通报给对应城区、开发区（工业园区）和企业，视情况公布。</w:t>
      </w:r>
    </w:p>
    <w:p>
      <w:pPr>
        <w:pStyle w:val="3"/>
        <w:spacing w:after="0" w:line="560" w:lineRule="exact"/>
        <w:ind w:firstLine="643"/>
        <w:jc w:val="both"/>
        <w:outlineLvl w:val="1"/>
        <w:rPr>
          <w:rFonts w:ascii="Times New Roman" w:hAnsi="Times New Roman" w:eastAsia="楷体" w:cs="Times New Roman"/>
          <w:b/>
          <w:color w:val="auto"/>
          <w:kern w:val="2"/>
          <w:sz w:val="32"/>
          <w:szCs w:val="32"/>
        </w:rPr>
      </w:pPr>
      <w:r>
        <w:rPr>
          <w:rFonts w:hint="eastAsia" w:ascii="Times New Roman" w:hAnsi="Times New Roman" w:eastAsia="楷体" w:cs="Times New Roman"/>
          <w:b/>
          <w:color w:val="auto"/>
          <w:kern w:val="2"/>
          <w:sz w:val="32"/>
          <w:szCs w:val="32"/>
        </w:rPr>
        <w:t>（三）强化氛围营造</w:t>
      </w:r>
    </w:p>
    <w:p>
      <w:pPr>
        <w:pStyle w:val="2"/>
        <w:spacing w:line="560" w:lineRule="exact"/>
        <w:ind w:firstLine="640"/>
        <w:rPr>
          <w:rFonts w:ascii="Times New Roman" w:hAnsi="Times New Roman" w:eastAsia="仿宋_GB2312" w:cs="Times New Roman"/>
          <w:color w:val="auto"/>
          <w:szCs w:val="32"/>
        </w:rPr>
      </w:pPr>
      <w:r>
        <w:rPr>
          <w:rFonts w:hint="eastAsia" w:ascii="Times New Roman" w:hAnsi="Times New Roman" w:eastAsia="仿宋_GB2312" w:cs="Times New Roman"/>
          <w:color w:val="auto"/>
          <w:szCs w:val="32"/>
        </w:rPr>
        <w:t>加强“亩均效益”综合评价工作相关政策、评价机制、工作机制解读，引导企业积极配合试点工作，提高参评积极性，充分利用网络媒体做好宣传，营造政府推动、社会参与的良好氛围，总结推广先进经验和典型做法，树立“亩均效益”发展理念。</w:t>
      </w:r>
    </w:p>
    <w:p>
      <w:pPr>
        <w:spacing w:line="560" w:lineRule="exact"/>
        <w:ind w:firstLine="640" w:firstLineChars="200"/>
        <w:rPr>
          <w:color w:val="auto"/>
        </w:rPr>
      </w:pPr>
      <w:r>
        <w:rPr>
          <w:rFonts w:hint="eastAsia" w:ascii="Times New Roman" w:hAnsi="Times New Roman" w:eastAsia="仿宋_GB2312" w:cs="Times New Roman"/>
          <w:color w:val="auto"/>
          <w:kern w:val="0"/>
          <w:sz w:val="32"/>
          <w:szCs w:val="32"/>
        </w:rPr>
        <w:t>本文件自印发之日起实施，由领导小组办公室负责解释和修订。</w:t>
      </w:r>
    </w:p>
    <w:p>
      <w:pPr>
        <w:pStyle w:val="2"/>
        <w:ind w:firstLine="640"/>
        <w:rPr>
          <w:color w:val="auto"/>
        </w:rPr>
      </w:pPr>
    </w:p>
    <w:p>
      <w:pPr>
        <w:pStyle w:val="3"/>
        <w:spacing w:line="500" w:lineRule="exact"/>
        <w:ind w:firstLine="643"/>
        <w:rPr>
          <w:rFonts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rPr>
        <w:t>附件：</w:t>
      </w:r>
    </w:p>
    <w:p>
      <w:pPr>
        <w:pStyle w:val="3"/>
        <w:widowControl w:val="0"/>
        <w:snapToGrid w:val="0"/>
        <w:spacing w:after="0" w:line="560" w:lineRule="exact"/>
        <w:ind w:left="1365" w:leftChars="65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“亩均效益”综合评价试点工作领导小组名单</w:t>
      </w:r>
    </w:p>
    <w:p>
      <w:pPr>
        <w:pStyle w:val="3"/>
        <w:widowControl w:val="0"/>
        <w:snapToGrid w:val="0"/>
        <w:spacing w:after="0" w:line="560" w:lineRule="exact"/>
        <w:ind w:left="1365" w:leftChars="65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“亩均效益”综合评价试点工作职责分工</w:t>
      </w:r>
    </w:p>
    <w:p>
      <w:pPr>
        <w:pStyle w:val="3"/>
        <w:widowControl w:val="0"/>
        <w:snapToGrid w:val="0"/>
        <w:spacing w:after="0" w:line="560" w:lineRule="exact"/>
        <w:ind w:left="1365" w:leftChars="65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城区“亩均效益”评价指标核算规则</w:t>
      </w:r>
    </w:p>
    <w:p>
      <w:pPr>
        <w:pStyle w:val="3"/>
        <w:widowControl w:val="0"/>
        <w:snapToGrid w:val="0"/>
        <w:spacing w:after="0" w:line="560" w:lineRule="exact"/>
        <w:ind w:left="1365" w:leftChars="65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开发区（工业园区）“亩均效益”评价指标核算规则</w:t>
      </w:r>
    </w:p>
    <w:p>
      <w:pPr>
        <w:pStyle w:val="3"/>
        <w:widowControl w:val="0"/>
        <w:snapToGrid w:val="0"/>
        <w:spacing w:after="0" w:line="560" w:lineRule="exact"/>
        <w:ind w:left="1365" w:leftChars="65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企业“亩均效益”评价指标核算规则</w:t>
      </w:r>
    </w:p>
    <w:p>
      <w:pPr>
        <w:pStyle w:val="3"/>
        <w:widowControl w:val="0"/>
        <w:snapToGrid w:val="0"/>
        <w:spacing w:after="0" w:line="560" w:lineRule="exact"/>
        <w:ind w:left="1365" w:leftChars="65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企业综合评价加分减分项</w:t>
      </w:r>
    </w:p>
    <w:p>
      <w:pPr>
        <w:pStyle w:val="3"/>
        <w:widowControl w:val="0"/>
        <w:snapToGrid w:val="0"/>
        <w:spacing w:after="0" w:line="560" w:lineRule="exact"/>
        <w:ind w:left="1365" w:leftChars="650" w:firstLine="0" w:firstLineChars="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rPr>
        <w:t>企业综合评价提档、降档规则</w:t>
      </w:r>
    </w:p>
    <w:p>
      <w:pPr>
        <w:pStyle w:val="3"/>
        <w:widowControl w:val="0"/>
        <w:snapToGrid w:val="0"/>
        <w:spacing w:after="0" w:line="560" w:lineRule="exact"/>
        <w:ind w:left="1365" w:leftChars="650" w:firstLine="0" w:firstLineChars="0"/>
        <w:rPr>
          <w:rFonts w:ascii="Times New Roman" w:hAnsi="Times New Roman" w:eastAsia="仿宋_GB2312" w:cs="Times New Roman"/>
          <w:color w:val="auto"/>
          <w:sz w:val="32"/>
          <w:szCs w:val="32"/>
        </w:rPr>
        <w:sectPr>
          <w:footerReference r:id="rId3" w:type="default"/>
          <w:pgSz w:w="11906" w:h="16838"/>
          <w:pgMar w:top="1440" w:right="1701" w:bottom="1440" w:left="1701" w:header="851" w:footer="992" w:gutter="0"/>
          <w:cols w:space="425" w:num="1"/>
          <w:docGrid w:type="lines" w:linePitch="312" w:charSpace="0"/>
        </w:sectPr>
      </w:pPr>
      <w:r>
        <w:rPr>
          <w:rFonts w:ascii="Times New Roman" w:hAnsi="Times New Roman" w:eastAsia="仿宋_GB2312" w:cs="Times New Roman"/>
          <w:color w:val="auto"/>
          <w:sz w:val="32"/>
          <w:szCs w:val="32"/>
        </w:rPr>
        <w:t>8.</w:t>
      </w:r>
      <w:r>
        <w:rPr>
          <w:rFonts w:hint="eastAsia" w:ascii="Times New Roman" w:hAnsi="Times New Roman" w:eastAsia="仿宋_GB2312" w:cs="Times New Roman"/>
          <w:color w:val="auto"/>
          <w:sz w:val="32"/>
          <w:szCs w:val="32"/>
        </w:rPr>
        <w:t>综合评价指标解释及数据来源</w:t>
      </w:r>
    </w:p>
    <w:p>
      <w:pPr>
        <w:pStyle w:val="3"/>
        <w:spacing w:after="0" w:line="560" w:lineRule="exact"/>
        <w:ind w:firstLine="0" w:firstLineChars="0"/>
        <w:outlineLvl w:val="0"/>
        <w:rPr>
          <w:rFonts w:ascii="Times New Roman" w:hAnsi="Times New Roman" w:eastAsia="仿宋_GB2312" w:cs="Times New Roman"/>
          <w:color w:val="auto"/>
          <w:sz w:val="32"/>
          <w:shd w:val="clear" w:color="auto" w:fill="FFFFFF"/>
        </w:rPr>
      </w:pPr>
      <w:bookmarkStart w:id="0" w:name="_GoBack"/>
      <w:bookmarkEnd w:id="0"/>
      <w:r>
        <w:rPr>
          <w:rFonts w:hint="eastAsia" w:ascii="Times New Roman" w:hAnsi="Times New Roman" w:eastAsia="仿宋_GB2312" w:cs="Times New Roman"/>
          <w:color w:val="auto"/>
          <w:sz w:val="32"/>
          <w:shd w:val="clear" w:color="auto" w:fill="FFFFFF"/>
        </w:rPr>
        <w:t>附件</w:t>
      </w:r>
      <w:r>
        <w:rPr>
          <w:rFonts w:ascii="Times New Roman" w:hAnsi="Times New Roman" w:eastAsia="仿宋_GB2312" w:cs="Times New Roman"/>
          <w:color w:val="auto"/>
          <w:sz w:val="32"/>
          <w:shd w:val="clear" w:color="auto" w:fill="FFFFFF"/>
        </w:rPr>
        <w:t>2</w:t>
      </w:r>
    </w:p>
    <w:p>
      <w:pPr>
        <w:pStyle w:val="3"/>
        <w:spacing w:after="0" w:line="560" w:lineRule="exact"/>
        <w:ind w:firstLine="0" w:firstLineChars="0"/>
        <w:jc w:val="center"/>
        <w:outlineLvl w:val="0"/>
        <w:rPr>
          <w:rFonts w:ascii="Times New Roman" w:hAnsi="Times New Roman" w:eastAsia="楷体_GB2312" w:cs="Times New Roman"/>
          <w:color w:val="auto"/>
          <w:sz w:val="32"/>
        </w:rPr>
      </w:pPr>
      <w:r>
        <w:rPr>
          <w:rFonts w:hint="eastAsia" w:ascii="华文中宋" w:hAnsi="华文中宋" w:eastAsia="华文中宋" w:cs="华文中宋"/>
          <w:color w:val="auto"/>
          <w:sz w:val="32"/>
          <w:shd w:val="clear" w:color="auto" w:fill="FFFFFF"/>
        </w:rPr>
        <w:t>“亩均效益”综合评价</w:t>
      </w:r>
      <w:r>
        <w:rPr>
          <w:rFonts w:hint="eastAsia" w:ascii="华文中宋" w:hAnsi="华文中宋" w:eastAsia="华文中宋" w:cs="华文中宋"/>
          <w:color w:val="auto"/>
          <w:sz w:val="32"/>
        </w:rPr>
        <w:t>试点工作各有关部门工作职责</w:t>
      </w:r>
    </w:p>
    <w:tbl>
      <w:tblPr>
        <w:tblStyle w:val="11"/>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9"/>
        <w:gridCol w:w="161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709" w:type="dxa"/>
            <w:tcMar>
              <w:top w:w="0" w:type="dxa"/>
              <w:left w:w="57" w:type="dxa"/>
              <w:bottom w:w="0" w:type="dxa"/>
              <w:right w:w="57" w:type="dxa"/>
            </w:tcMar>
            <w:vAlign w:val="center"/>
          </w:tcPr>
          <w:p>
            <w:pPr>
              <w:widowControl/>
              <w:shd w:val="clear" w:color="auto" w:fill="FFFFFF"/>
              <w:spacing w:line="42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序号</w:t>
            </w:r>
          </w:p>
        </w:tc>
        <w:tc>
          <w:tcPr>
            <w:tcW w:w="1616" w:type="dxa"/>
            <w:tcMar>
              <w:top w:w="0" w:type="dxa"/>
              <w:left w:w="57" w:type="dxa"/>
              <w:bottom w:w="0" w:type="dxa"/>
              <w:right w:w="57" w:type="dxa"/>
            </w:tcMar>
            <w:vAlign w:val="center"/>
          </w:tcPr>
          <w:p>
            <w:pPr>
              <w:widowControl/>
              <w:shd w:val="clear" w:color="auto" w:fill="FFFFFF"/>
              <w:spacing w:line="42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单</w:t>
            </w:r>
            <w:r>
              <w:rPr>
                <w:rFonts w:ascii="Times New Roman" w:hAnsi="Times New Roman" w:eastAsia="仿宋_GB2312" w:cs="Times New Roman"/>
                <w:b/>
                <w:color w:val="auto"/>
                <w:kern w:val="0"/>
                <w:sz w:val="24"/>
                <w:szCs w:val="24"/>
              </w:rPr>
              <w:t>    </w:t>
            </w:r>
            <w:r>
              <w:rPr>
                <w:rFonts w:hint="eastAsia" w:ascii="Times New Roman" w:hAnsi="Times New Roman" w:eastAsia="仿宋_GB2312" w:cs="Times New Roman"/>
                <w:b/>
                <w:color w:val="auto"/>
                <w:kern w:val="0"/>
                <w:sz w:val="24"/>
                <w:szCs w:val="24"/>
              </w:rPr>
              <w:t>位</w:t>
            </w:r>
          </w:p>
        </w:tc>
        <w:tc>
          <w:tcPr>
            <w:tcW w:w="6663" w:type="dxa"/>
            <w:tcMar>
              <w:top w:w="0" w:type="dxa"/>
              <w:left w:w="57" w:type="dxa"/>
              <w:bottom w:w="0" w:type="dxa"/>
              <w:right w:w="57" w:type="dxa"/>
            </w:tcMar>
            <w:vAlign w:val="center"/>
          </w:tcPr>
          <w:p>
            <w:pPr>
              <w:widowControl/>
              <w:shd w:val="clear" w:color="auto" w:fill="FFFFFF"/>
              <w:spacing w:line="42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62"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rPr>
              <w:t>领导小组办公室</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r>
              <w:rPr>
                <w:rFonts w:hint="eastAsia" w:ascii="Times New Roman" w:hAnsi="Times New Roman" w:eastAsia="仿宋_GB2312" w:cs="Times New Roman"/>
                <w:color w:val="auto"/>
                <w:kern w:val="0"/>
                <w:sz w:val="24"/>
                <w:szCs w:val="24"/>
              </w:rPr>
              <w:t>负责</w:t>
            </w:r>
            <w:r>
              <w:rPr>
                <w:rFonts w:hint="eastAsia" w:ascii="Times New Roman" w:hAnsi="Times New Roman" w:eastAsia="仿宋_GB2312" w:cs="Times New Roman"/>
                <w:color w:val="auto"/>
                <w:sz w:val="24"/>
                <w:szCs w:val="24"/>
              </w:rPr>
              <w:t>领导小组</w:t>
            </w:r>
            <w:r>
              <w:rPr>
                <w:rFonts w:hint="eastAsia" w:ascii="Times New Roman" w:hAnsi="Times New Roman" w:eastAsia="仿宋_GB2312" w:cs="Times New Roman"/>
                <w:color w:val="auto"/>
                <w:kern w:val="0"/>
                <w:sz w:val="24"/>
                <w:szCs w:val="24"/>
              </w:rPr>
              <w:t>日常工作，制定并发布评价实施办法，定期对评价工作落实情况进行调度、通报；</w:t>
            </w:r>
          </w:p>
          <w:p>
            <w:pPr>
              <w:pStyle w:val="2"/>
              <w:spacing w:line="420" w:lineRule="exact"/>
              <w:ind w:firstLine="480"/>
              <w:jc w:val="both"/>
              <w:rPr>
                <w:rFonts w:ascii="Times New Roman" w:hAnsi="Times New Roman" w:eastAsia="仿宋_GB2312" w:cs="Times New Roman"/>
                <w:color w:val="auto"/>
                <w:kern w:val="2"/>
                <w:sz w:val="24"/>
                <w:szCs w:val="24"/>
              </w:rPr>
            </w:pPr>
            <w:r>
              <w:rPr>
                <w:rFonts w:ascii="Times New Roman" w:hAnsi="Times New Roman" w:eastAsia="仿宋_GB2312" w:cs="Times New Roman"/>
                <w:color w:val="auto"/>
                <w:kern w:val="2"/>
                <w:sz w:val="24"/>
                <w:szCs w:val="24"/>
              </w:rPr>
              <w:t>2.</w:t>
            </w:r>
            <w:r>
              <w:rPr>
                <w:rFonts w:hint="eastAsia" w:ascii="Times New Roman" w:hAnsi="Times New Roman" w:eastAsia="仿宋_GB2312" w:cs="Times New Roman"/>
                <w:color w:val="auto"/>
                <w:kern w:val="2"/>
                <w:sz w:val="24"/>
                <w:szCs w:val="24"/>
              </w:rPr>
              <w:t>牵头研究确定参评企业名单；</w:t>
            </w:r>
          </w:p>
          <w:p>
            <w:pPr>
              <w:widowControl/>
              <w:spacing w:line="420" w:lineRule="exact"/>
              <w:ind w:firstLine="480" w:firstLineChars="200"/>
              <w:textAlignment w:val="center"/>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kern w:val="0"/>
                <w:sz w:val="24"/>
                <w:szCs w:val="24"/>
              </w:rPr>
              <w:t>3.</w:t>
            </w:r>
            <w:r>
              <w:rPr>
                <w:rFonts w:hint="eastAsia" w:ascii="Times New Roman" w:hAnsi="Times New Roman" w:eastAsia="仿宋_GB2312" w:cs="Times New Roman"/>
                <w:color w:val="auto"/>
                <w:kern w:val="0"/>
                <w:sz w:val="24"/>
                <w:szCs w:val="24"/>
              </w:rPr>
              <w:t>组织、协调各部门、各开发区（工业园区）开展亩均效益评价和评价结果应用工作。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6"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rPr>
              <w:t>市自然资源和规划局</w:t>
            </w:r>
          </w:p>
        </w:tc>
        <w:tc>
          <w:tcPr>
            <w:tcW w:w="6663" w:type="dxa"/>
            <w:tcMar>
              <w:top w:w="0" w:type="dxa"/>
              <w:left w:w="57" w:type="dxa"/>
              <w:bottom w:w="0" w:type="dxa"/>
              <w:right w:w="57" w:type="dxa"/>
            </w:tcMar>
            <w:vAlign w:val="center"/>
          </w:tcPr>
          <w:p>
            <w:pPr>
              <w:pStyle w:val="2"/>
              <w:spacing w:line="420" w:lineRule="exact"/>
              <w:ind w:firstLine="48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rPr>
              <w:t>提供城区、开发区（工业园区）建设用地、闲置土地、批地和供地数据；</w:t>
            </w:r>
          </w:p>
          <w:p>
            <w:pPr>
              <w:pStyle w:val="2"/>
              <w:spacing w:line="420" w:lineRule="exact"/>
              <w:ind w:firstLine="48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提供企业供地数据（电子监管号、土地使用权人、出让时间、宗地地址、供地用途、供地面积、约定竣工时间、容积率等数据）；</w:t>
            </w:r>
          </w:p>
          <w:p>
            <w:pPr>
              <w:pStyle w:val="2"/>
              <w:spacing w:line="420" w:lineRule="exact"/>
              <w:ind w:firstLine="48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提供企业不动产登记数据（土地（不动产）证号、不动产权利人、登记时间、登记面积、登记地址等数据）；</w:t>
            </w:r>
          </w:p>
          <w:p>
            <w:pPr>
              <w:spacing w:line="420" w:lineRule="exact"/>
              <w:ind w:firstLine="480" w:firstLineChars="200"/>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r>
              <w:rPr>
                <w:rFonts w:hint="eastAsia" w:ascii="Times New Roman" w:hAnsi="Times New Roman" w:eastAsia="仿宋_GB2312" w:cs="Times New Roman"/>
                <w:color w:val="auto"/>
                <w:kern w:val="0"/>
                <w:sz w:val="24"/>
                <w:szCs w:val="24"/>
              </w:rPr>
              <w:t>提供欠缴土地出让金，存在闲置土地（企业自身原因）且年内未处置到位的企业名单；</w:t>
            </w:r>
          </w:p>
          <w:p>
            <w:pPr>
              <w:widowControl/>
              <w:spacing w:line="420" w:lineRule="exact"/>
              <w:ind w:firstLine="480" w:firstLineChars="200"/>
              <w:textAlignment w:val="center"/>
              <w:rPr>
                <w:rFonts w:eastAsia="楷体_GB2312"/>
                <w:color w:val="auto"/>
                <w:kern w:val="0"/>
                <w:sz w:val="32"/>
              </w:rPr>
            </w:pPr>
            <w:r>
              <w:rPr>
                <w:rFonts w:ascii="Times New Roman" w:hAnsi="Times New Roman" w:eastAsia="仿宋_GB2312" w:cs="Times New Roman"/>
                <w:color w:val="auto"/>
                <w:kern w:val="0"/>
                <w:sz w:val="24"/>
                <w:szCs w:val="24"/>
              </w:rPr>
              <w:t>5</w:t>
            </w: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研究提出及实施自然资源领域的差别化资源配置措施；</w:t>
            </w:r>
          </w:p>
          <w:p>
            <w:pPr>
              <w:spacing w:line="420" w:lineRule="exact"/>
              <w:ind w:firstLine="480" w:firstLineChars="200"/>
              <w:textAlignment w:val="center"/>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kern w:val="0"/>
                <w:sz w:val="24"/>
                <w:szCs w:val="24"/>
              </w:rPr>
              <w:t>6.</w:t>
            </w:r>
            <w:r>
              <w:rPr>
                <w:rFonts w:hint="eastAsia" w:ascii="Times New Roman" w:hAnsi="Times New Roman" w:eastAsia="仿宋_GB2312" w:cs="Times New Roman"/>
                <w:color w:val="auto"/>
                <w:kern w:val="0"/>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0"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市发展和改革委员会</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1.</w:t>
            </w:r>
            <w:r>
              <w:rPr>
                <w:rFonts w:hint="eastAsia" w:ascii="Times New Roman" w:hAnsi="Times New Roman" w:eastAsia="仿宋_GB2312" w:cs="Times New Roman"/>
                <w:color w:val="auto"/>
                <w:kern w:val="0"/>
                <w:sz w:val="24"/>
                <w:szCs w:val="24"/>
              </w:rPr>
              <w:t>研究提出发改领域的差别化资源配置</w:t>
            </w:r>
            <w:r>
              <w:rPr>
                <w:rFonts w:hint="eastAsia" w:ascii="Times New Roman" w:hAnsi="Times New Roman" w:eastAsia="仿宋_GB2312" w:cs="Times New Roman"/>
                <w:color w:val="auto"/>
                <w:sz w:val="24"/>
                <w:szCs w:val="24"/>
              </w:rPr>
              <w:t>措施；</w:t>
            </w:r>
          </w:p>
          <w:p>
            <w:pPr>
              <w:widowControl/>
              <w:spacing w:line="420" w:lineRule="exact"/>
              <w:ind w:firstLine="480" w:firstLineChars="200"/>
              <w:textAlignment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2.提供列入严重违法失信名单企业数据；</w:t>
            </w:r>
          </w:p>
          <w:p>
            <w:pPr>
              <w:pStyle w:val="2"/>
              <w:spacing w:line="420" w:lineRule="exact"/>
              <w:ind w:firstLine="480" w:firstLineChars="200"/>
              <w:textAlignment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12"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市工业和信息化局</w:t>
            </w:r>
          </w:p>
        </w:tc>
        <w:tc>
          <w:tcPr>
            <w:tcW w:w="6663" w:type="dxa"/>
            <w:tcMar>
              <w:top w:w="0" w:type="dxa"/>
              <w:left w:w="57" w:type="dxa"/>
              <w:bottom w:w="0" w:type="dxa"/>
              <w:right w:w="57" w:type="dxa"/>
            </w:tcMar>
            <w:vAlign w:val="center"/>
          </w:tcPr>
          <w:p>
            <w:pPr>
              <w:pStyle w:val="2"/>
              <w:spacing w:line="420" w:lineRule="exact"/>
              <w:ind w:firstLine="480"/>
              <w:jc w:val="both"/>
              <w:rPr>
                <w:rFonts w:ascii="Times New Roman" w:hAnsi="Times New Roman" w:eastAsia="仿宋_GB2312" w:cs="Times New Roman"/>
                <w:color w:val="auto"/>
                <w:kern w:val="2"/>
                <w:sz w:val="24"/>
                <w:szCs w:val="28"/>
              </w:rPr>
            </w:pPr>
            <w:r>
              <w:rPr>
                <w:rFonts w:ascii="Times New Roman" w:hAnsi="Times New Roman" w:eastAsia="仿宋_GB2312" w:cs="Times New Roman"/>
                <w:color w:val="auto"/>
                <w:sz w:val="24"/>
                <w:szCs w:val="24"/>
              </w:rPr>
              <w:t>1.</w:t>
            </w:r>
            <w:r>
              <w:rPr>
                <w:rFonts w:hint="eastAsia" w:ascii="Times New Roman" w:hAnsi="Times New Roman" w:eastAsia="仿宋_GB2312"/>
                <w:color w:val="auto"/>
                <w:sz w:val="24"/>
                <w:szCs w:val="24"/>
              </w:rPr>
              <w:t>配合领导小组办公室，督促</w:t>
            </w:r>
            <w:r>
              <w:rPr>
                <w:rFonts w:hint="eastAsia" w:ascii="Times New Roman" w:hAnsi="Times New Roman" w:eastAsia="仿宋_GB2312" w:cs="Times New Roman"/>
                <w:color w:val="auto"/>
                <w:kern w:val="2"/>
                <w:sz w:val="24"/>
                <w:szCs w:val="28"/>
              </w:rPr>
              <w:t>开发区（工业园区）报送评价基础数据；</w:t>
            </w:r>
          </w:p>
          <w:p>
            <w:pPr>
              <w:pStyle w:val="2"/>
              <w:spacing w:line="420" w:lineRule="exact"/>
              <w:ind w:firstLine="48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提供本部门管辖领域的企业加分减分项数据；</w:t>
            </w:r>
          </w:p>
          <w:p>
            <w:pPr>
              <w:widowControl/>
              <w:spacing w:line="420" w:lineRule="exact"/>
              <w:ind w:firstLine="480" w:firstLineChars="200"/>
              <w:textAlignment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3.研究提出</w:t>
            </w:r>
            <w:r>
              <w:rPr>
                <w:rFonts w:hint="eastAsia" w:ascii="Times New Roman" w:hAnsi="Times New Roman" w:eastAsia="仿宋_GB2312" w:cs="Times New Roman"/>
                <w:color w:val="auto"/>
                <w:sz w:val="24"/>
                <w:szCs w:val="24"/>
              </w:rPr>
              <w:t>及实施</w:t>
            </w:r>
            <w:r>
              <w:rPr>
                <w:rFonts w:hint="eastAsia" w:ascii="Times New Roman" w:hAnsi="Times New Roman" w:eastAsia="仿宋_GB2312" w:cs="Times New Roman"/>
                <w:color w:val="auto"/>
                <w:kern w:val="0"/>
                <w:sz w:val="24"/>
                <w:szCs w:val="24"/>
              </w:rPr>
              <w:t>工信领域的差别化资源配置措施；</w:t>
            </w:r>
          </w:p>
          <w:p>
            <w:pPr>
              <w:spacing w:line="420" w:lineRule="exact"/>
              <w:ind w:firstLine="480" w:firstLineChars="200"/>
              <w:textAlignment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szCs w:val="24"/>
              </w:rPr>
              <w:t>4.</w:t>
            </w:r>
            <w:r>
              <w:rPr>
                <w:rFonts w:hint="eastAsia" w:ascii="Times New Roman" w:hAnsi="Times New Roman" w:eastAsia="仿宋_GB2312" w:cs="Times New Roman"/>
                <w:color w:val="auto"/>
                <w:kern w:val="0"/>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6"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zh-CN"/>
              </w:rPr>
              <w:t>市科学技术局</w:t>
            </w:r>
          </w:p>
        </w:tc>
        <w:tc>
          <w:tcPr>
            <w:tcW w:w="6663" w:type="dxa"/>
            <w:tcMar>
              <w:top w:w="0" w:type="dxa"/>
              <w:left w:w="57" w:type="dxa"/>
              <w:bottom w:w="0" w:type="dxa"/>
              <w:right w:w="57" w:type="dxa"/>
            </w:tcMar>
            <w:vAlign w:val="center"/>
          </w:tcPr>
          <w:p>
            <w:pPr>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rPr>
              <w:t>提供本部门管辖领域的企业加分减分项数据；</w:t>
            </w:r>
          </w:p>
          <w:p>
            <w:pPr>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研究提出及实施科技领域的差别化资源配置措施；</w:t>
            </w:r>
          </w:p>
          <w:p>
            <w:pPr>
              <w:spacing w:line="420" w:lineRule="exact"/>
              <w:ind w:firstLine="480" w:firstLineChars="200"/>
              <w:textAlignment w:val="center"/>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2"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6</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市财政局</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rPr>
              <w:t>研究</w:t>
            </w:r>
            <w:r>
              <w:rPr>
                <w:rFonts w:hint="eastAsia" w:ascii="Times New Roman" w:hAnsi="Times New Roman" w:eastAsia="仿宋_GB2312" w:cs="Times New Roman"/>
                <w:color w:val="auto"/>
                <w:kern w:val="0"/>
                <w:sz w:val="24"/>
                <w:szCs w:val="24"/>
              </w:rPr>
              <w:t>提出</w:t>
            </w:r>
            <w:r>
              <w:rPr>
                <w:rFonts w:hint="eastAsia" w:ascii="Times New Roman" w:hAnsi="Times New Roman" w:eastAsia="仿宋_GB2312" w:cs="Times New Roman"/>
                <w:color w:val="auto"/>
                <w:sz w:val="24"/>
                <w:szCs w:val="24"/>
              </w:rPr>
              <w:t>及实施</w:t>
            </w:r>
            <w:r>
              <w:rPr>
                <w:rFonts w:hint="eastAsia" w:ascii="Times New Roman" w:hAnsi="Times New Roman" w:eastAsia="仿宋_GB2312" w:cs="Times New Roman"/>
                <w:color w:val="auto"/>
                <w:kern w:val="0"/>
                <w:sz w:val="24"/>
                <w:szCs w:val="24"/>
              </w:rPr>
              <w:t>财政领域（含金融扶持领域）的差别化资源配置措施；</w:t>
            </w:r>
          </w:p>
          <w:p>
            <w:pPr>
              <w:pStyle w:val="2"/>
              <w:ind w:firstLine="48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管理企业差别化资源要素配置产生的资金；</w:t>
            </w:r>
          </w:p>
          <w:p>
            <w:pPr>
              <w:widowControl/>
              <w:spacing w:line="420" w:lineRule="exact"/>
              <w:ind w:firstLine="480" w:firstLineChars="200"/>
              <w:textAlignment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4"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7</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市人力资源和社会保障局</w:t>
            </w:r>
          </w:p>
        </w:tc>
        <w:tc>
          <w:tcPr>
            <w:tcW w:w="6663" w:type="dxa"/>
            <w:tcMar>
              <w:top w:w="0" w:type="dxa"/>
              <w:left w:w="57" w:type="dxa"/>
              <w:bottom w:w="0" w:type="dxa"/>
              <w:right w:w="57" w:type="dxa"/>
            </w:tcMar>
            <w:vAlign w:val="center"/>
          </w:tcPr>
          <w:p>
            <w:pPr>
              <w:spacing w:line="42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rPr>
              <w:t>提供企业年末参保人数；</w:t>
            </w:r>
          </w:p>
          <w:p>
            <w:pPr>
              <w:spacing w:line="420" w:lineRule="exact"/>
              <w:ind w:firstLine="480" w:firstLineChars="200"/>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2.研究提出及实施人力资源和社会保障领域的差别化资源配置措施；</w:t>
            </w:r>
          </w:p>
          <w:p>
            <w:pPr>
              <w:spacing w:line="420" w:lineRule="exact"/>
              <w:ind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rPr>
              <w:t>3.对相关单位申述进行处理并做好解释。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2"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8</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0"/>
                <w:sz w:val="24"/>
                <w:szCs w:val="24"/>
              </w:rPr>
              <w:t>市生态环境局</w:t>
            </w:r>
          </w:p>
        </w:tc>
        <w:tc>
          <w:tcPr>
            <w:tcW w:w="6663" w:type="dxa"/>
            <w:tcMar>
              <w:top w:w="0" w:type="dxa"/>
              <w:left w:w="57" w:type="dxa"/>
              <w:bottom w:w="0" w:type="dxa"/>
              <w:right w:w="57" w:type="dxa"/>
            </w:tcMar>
            <w:vAlign w:val="center"/>
          </w:tcPr>
          <w:p>
            <w:pPr>
              <w:autoSpaceDE w:val="0"/>
              <w:autoSpaceDN w:val="0"/>
              <w:adjustRightInd w:val="0"/>
              <w:spacing w:line="420" w:lineRule="exact"/>
              <w:ind w:firstLine="480" w:firstLineChars="200"/>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r>
              <w:rPr>
                <w:rFonts w:hint="eastAsia" w:ascii="Times New Roman" w:hAnsi="Times New Roman" w:eastAsia="仿宋_GB2312" w:cs="Times New Roman"/>
                <w:color w:val="auto"/>
                <w:kern w:val="0"/>
                <w:sz w:val="24"/>
                <w:szCs w:val="24"/>
              </w:rPr>
              <w:t>提供</w:t>
            </w:r>
            <w:r>
              <w:rPr>
                <w:rFonts w:hint="eastAsia" w:ascii="Times New Roman" w:hAnsi="Times New Roman" w:eastAsia="仿宋_GB2312" w:cs="Times New Roman"/>
                <w:color w:val="auto"/>
                <w:sz w:val="24"/>
                <w:szCs w:val="24"/>
              </w:rPr>
              <w:t>评价年度</w:t>
            </w:r>
            <w:r>
              <w:rPr>
                <w:rFonts w:hint="eastAsia" w:ascii="Times New Roman" w:hAnsi="Times New Roman" w:eastAsia="仿宋_GB2312" w:cs="Times New Roman"/>
                <w:color w:val="auto"/>
                <w:kern w:val="0"/>
                <w:sz w:val="24"/>
                <w:szCs w:val="24"/>
              </w:rPr>
              <w:t>在环境保护领域发生重大责任事故或严重违法违规行为的企业数据；</w:t>
            </w:r>
          </w:p>
          <w:p>
            <w:pPr>
              <w:pStyle w:val="2"/>
              <w:spacing w:line="420" w:lineRule="exact"/>
              <w:ind w:firstLine="48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提供评价年度因排污受行政处罚的企业数据；</w:t>
            </w:r>
          </w:p>
          <w:p>
            <w:pPr>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3</w:t>
            </w:r>
            <w:r>
              <w:rPr>
                <w:rFonts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rPr>
              <w:t>提供参评企业评价年度主要污染物排放数据（化学需氧量、氨氮、二氧化硫和氮氧化物等数据）；</w:t>
            </w:r>
          </w:p>
          <w:p>
            <w:pPr>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w:t>
            </w:r>
            <w:r>
              <w:rPr>
                <w:rFonts w:hint="eastAsia" w:ascii="Times New Roman" w:hAnsi="Times New Roman" w:eastAsia="仿宋_GB2312" w:cs="Times New Roman"/>
                <w:color w:val="auto"/>
                <w:sz w:val="24"/>
                <w:szCs w:val="24"/>
              </w:rPr>
              <w:t>研究提出及实施生态环境领域的差别化资源配置措施；</w:t>
            </w:r>
          </w:p>
          <w:p>
            <w:pPr>
              <w:spacing w:line="420" w:lineRule="exact"/>
              <w:ind w:firstLine="480" w:firstLineChars="200"/>
              <w:textAlignment w:val="center"/>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sz w:val="24"/>
                <w:szCs w:val="24"/>
              </w:rPr>
              <w:t>5.</w:t>
            </w:r>
            <w:r>
              <w:rPr>
                <w:rFonts w:hint="eastAsia" w:ascii="Times New Roman" w:hAnsi="Times New Roman" w:eastAsia="仿宋_GB2312" w:cs="Times New Roman"/>
                <w:color w:val="auto"/>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3"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市商务局</w:t>
            </w:r>
          </w:p>
        </w:tc>
        <w:tc>
          <w:tcPr>
            <w:tcW w:w="6663" w:type="dxa"/>
            <w:tcMar>
              <w:top w:w="0" w:type="dxa"/>
              <w:left w:w="57" w:type="dxa"/>
              <w:bottom w:w="0" w:type="dxa"/>
              <w:right w:w="57" w:type="dxa"/>
            </w:tcMar>
            <w:vAlign w:val="center"/>
          </w:tcPr>
          <w:p>
            <w:pPr>
              <w:pStyle w:val="2"/>
              <w:spacing w:line="420" w:lineRule="exact"/>
              <w:ind w:firstLine="480"/>
              <w:jc w:val="both"/>
              <w:rPr>
                <w:rFonts w:ascii="Times New Roman" w:hAnsi="Times New Roman" w:eastAsia="仿宋_GB2312" w:cs="Times New Roman"/>
                <w:color w:val="auto"/>
                <w:kern w:val="2"/>
                <w:sz w:val="24"/>
                <w:szCs w:val="28"/>
              </w:rPr>
            </w:pPr>
            <w:r>
              <w:rPr>
                <w:rFonts w:ascii="Times New Roman" w:hAnsi="Times New Roman" w:eastAsia="仿宋_GB2312" w:cs="Times New Roman"/>
                <w:color w:val="auto"/>
                <w:sz w:val="24"/>
                <w:szCs w:val="24"/>
              </w:rPr>
              <w:t>1.</w:t>
            </w:r>
            <w:r>
              <w:rPr>
                <w:rFonts w:hint="eastAsia" w:ascii="Times New Roman" w:hAnsi="Times New Roman" w:eastAsia="仿宋_GB2312"/>
                <w:color w:val="auto"/>
                <w:sz w:val="24"/>
                <w:szCs w:val="24"/>
              </w:rPr>
              <w:t>配合统计局，督促物流企业配合提供</w:t>
            </w:r>
            <w:r>
              <w:rPr>
                <w:rFonts w:hint="eastAsia" w:ascii="Times New Roman" w:hAnsi="Times New Roman" w:eastAsia="仿宋_GB2312" w:cs="Times New Roman"/>
                <w:color w:val="auto"/>
                <w:kern w:val="2"/>
                <w:sz w:val="24"/>
                <w:szCs w:val="28"/>
              </w:rPr>
              <w:t>评价基础数据；</w:t>
            </w:r>
          </w:p>
          <w:p>
            <w:pPr>
              <w:spacing w:line="420" w:lineRule="exact"/>
              <w:ind w:firstLine="480" w:firstLineChars="200"/>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对相关单位申述进行处理并做好解释。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59"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rPr>
              <w:t>市应急管理局</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r>
              <w:rPr>
                <w:rFonts w:hint="eastAsia" w:ascii="Times New Roman" w:hAnsi="Times New Roman" w:eastAsia="仿宋_GB2312" w:cs="Times New Roman"/>
                <w:color w:val="auto"/>
                <w:kern w:val="0"/>
                <w:sz w:val="24"/>
                <w:szCs w:val="24"/>
              </w:rPr>
              <w:t>提供评价年度在工矿商贸及其他安全生产领域发生重大责任事故或严重违法违规行为的企业数据；</w:t>
            </w:r>
          </w:p>
          <w:p>
            <w:pPr>
              <w:spacing w:line="420" w:lineRule="exact"/>
              <w:ind w:firstLine="480" w:firstLineChars="200"/>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提供本部门管辖领域的企业减分项数据；</w:t>
            </w:r>
          </w:p>
          <w:p>
            <w:pPr>
              <w:pStyle w:val="2"/>
              <w:spacing w:line="420" w:lineRule="exact"/>
              <w:ind w:firstLine="480" w:firstLineChars="200"/>
              <w:jc w:val="both"/>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9"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11</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zh-CN"/>
              </w:rPr>
              <w:t>市市场监督管理局</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rPr>
              <w:t>提供本部门管辖领域的企业加分减分项数据；</w:t>
            </w:r>
          </w:p>
          <w:p>
            <w:pPr>
              <w:autoSpaceDE w:val="0"/>
              <w:autoSpaceDN w:val="0"/>
              <w:adjustRightInd w:val="0"/>
              <w:spacing w:line="42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提供评价年度食（药）品安全、知识产权领域发生重大责任事故或严重违法违规行为的企业数据；</w:t>
            </w:r>
          </w:p>
          <w:p>
            <w:pPr>
              <w:pStyle w:val="2"/>
              <w:spacing w:line="420" w:lineRule="exact"/>
              <w:ind w:firstLine="48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kern w:val="2"/>
                <w:sz w:val="24"/>
                <w:szCs w:val="24"/>
              </w:rPr>
              <w:t>3.</w:t>
            </w:r>
            <w:r>
              <w:rPr>
                <w:rFonts w:hint="eastAsia" w:ascii="Times New Roman" w:hAnsi="Times New Roman" w:eastAsia="仿宋_GB2312" w:cs="Times New Roman"/>
                <w:color w:val="auto"/>
                <w:kern w:val="2"/>
                <w:sz w:val="24"/>
                <w:szCs w:val="24"/>
              </w:rPr>
              <w:t>提供列入严重违法失信名单企业数据；</w:t>
            </w:r>
          </w:p>
          <w:p>
            <w:pPr>
              <w:widowControl/>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w:t>
            </w:r>
            <w:r>
              <w:rPr>
                <w:rFonts w:hint="eastAsia" w:ascii="Times New Roman" w:hAnsi="Times New Roman" w:eastAsia="仿宋_GB2312" w:cs="Times New Roman"/>
                <w:color w:val="auto"/>
                <w:sz w:val="24"/>
                <w:szCs w:val="24"/>
              </w:rPr>
              <w:t>研究提出及实施市场监管（知识产权）领域的差别化资源配置措施；</w:t>
            </w:r>
          </w:p>
          <w:p>
            <w:pPr>
              <w:widowControl/>
              <w:spacing w:line="420" w:lineRule="exact"/>
              <w:ind w:firstLine="480" w:firstLineChars="200"/>
              <w:textAlignment w:val="center"/>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sz w:val="24"/>
                <w:szCs w:val="24"/>
              </w:rPr>
              <w:t>5.</w:t>
            </w:r>
            <w:r>
              <w:rPr>
                <w:rFonts w:hint="eastAsia" w:ascii="Times New Roman" w:hAnsi="Times New Roman" w:eastAsia="仿宋_GB2312" w:cs="Times New Roman"/>
                <w:color w:val="auto"/>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3"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市统计局</w:t>
            </w:r>
          </w:p>
        </w:tc>
        <w:tc>
          <w:tcPr>
            <w:tcW w:w="6663" w:type="dxa"/>
            <w:tcMar>
              <w:top w:w="0" w:type="dxa"/>
              <w:left w:w="57" w:type="dxa"/>
              <w:bottom w:w="0" w:type="dxa"/>
              <w:right w:w="57" w:type="dxa"/>
            </w:tcMar>
            <w:vAlign w:val="center"/>
          </w:tcPr>
          <w:p>
            <w:pPr>
              <w:widowControl/>
              <w:numPr>
                <w:ilvl w:val="255"/>
                <w:numId w:val="0"/>
              </w:numPr>
              <w:spacing w:line="420" w:lineRule="exact"/>
              <w:ind w:firstLine="480" w:firstLineChars="200"/>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r>
              <w:rPr>
                <w:rFonts w:hint="eastAsia" w:ascii="Times New Roman" w:hAnsi="Times New Roman" w:eastAsia="仿宋_GB2312" w:cs="Times New Roman"/>
                <w:color w:val="auto"/>
                <w:kern w:val="0"/>
                <w:sz w:val="24"/>
                <w:szCs w:val="24"/>
              </w:rPr>
              <w:t>提供评价年度年末规上在库企业名单；</w:t>
            </w:r>
          </w:p>
          <w:p>
            <w:pPr>
              <w:widowControl/>
              <w:numPr>
                <w:ilvl w:val="255"/>
                <w:numId w:val="0"/>
              </w:numPr>
              <w:spacing w:line="420" w:lineRule="exact"/>
              <w:ind w:firstLine="480" w:firstLineChars="200"/>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提供企业经济数据（</w:t>
            </w:r>
            <w:r>
              <w:rPr>
                <w:rFonts w:hint="eastAsia" w:ascii="Times New Roman" w:hAnsi="Times New Roman" w:eastAsia="仿宋_GB2312" w:cs="Times New Roman"/>
                <w:color w:val="auto"/>
                <w:sz w:val="24"/>
                <w:szCs w:val="24"/>
              </w:rPr>
              <w:t>企业名称全称、注册地址、生产经营地址、统一社会信用代码、工业总产值、</w:t>
            </w:r>
            <w:r>
              <w:rPr>
                <w:rFonts w:hint="eastAsia" w:ascii="Times New Roman" w:hAnsi="Times New Roman" w:eastAsia="仿宋_GB2312" w:cs="Times New Roman"/>
                <w:color w:val="auto"/>
                <w:kern w:val="0"/>
                <w:sz w:val="24"/>
                <w:szCs w:val="24"/>
              </w:rPr>
              <w:t>工业增加值、营业收入、研究与试验发展经费、综合能源消费量（等价值）、2年内“小升规”企业</w:t>
            </w:r>
            <w:r>
              <w:rPr>
                <w:rFonts w:hint="eastAsia" w:ascii="Times New Roman" w:hAnsi="Times New Roman" w:eastAsia="仿宋_GB2312" w:cs="Times New Roman"/>
                <w:color w:val="auto"/>
                <w:sz w:val="24"/>
                <w:szCs w:val="24"/>
              </w:rPr>
              <w:t>等数据</w:t>
            </w:r>
            <w:r>
              <w:rPr>
                <w:rFonts w:hint="eastAsia" w:ascii="Times New Roman" w:hAnsi="Times New Roman" w:eastAsia="仿宋_GB2312" w:cs="Times New Roman"/>
                <w:color w:val="auto"/>
                <w:kern w:val="0"/>
                <w:sz w:val="24"/>
                <w:szCs w:val="24"/>
              </w:rPr>
              <w:t>）；</w:t>
            </w:r>
          </w:p>
          <w:p>
            <w:pPr>
              <w:spacing w:line="420" w:lineRule="exact"/>
              <w:ind w:firstLine="480" w:firstLineChars="200"/>
              <w:textAlignment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szCs w:val="24"/>
              </w:rPr>
              <w:t>3.</w:t>
            </w:r>
            <w:r>
              <w:rPr>
                <w:rFonts w:hint="eastAsia" w:ascii="Times New Roman" w:hAnsi="Times New Roman" w:eastAsia="仿宋_GB2312" w:cs="Times New Roman"/>
                <w:color w:val="auto"/>
                <w:kern w:val="0"/>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0"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13</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zh-CN"/>
              </w:rPr>
              <w:t>市行政审批局</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rPr>
              <w:t>研究提出及实施行政审批领域的差别化资源配置措施；</w:t>
            </w:r>
          </w:p>
          <w:p>
            <w:pPr>
              <w:pStyle w:val="2"/>
              <w:spacing w:line="420" w:lineRule="exact"/>
              <w:ind w:firstLine="480" w:firstLineChars="200"/>
              <w:jc w:val="both"/>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kern w:val="2"/>
                <w:sz w:val="24"/>
                <w:szCs w:val="24"/>
              </w:rPr>
              <w:t>2.</w:t>
            </w:r>
            <w:r>
              <w:rPr>
                <w:rFonts w:hint="eastAsia" w:ascii="Times New Roman" w:hAnsi="Times New Roman" w:eastAsia="仿宋_GB2312" w:cs="Times New Roman"/>
                <w:color w:val="auto"/>
                <w:kern w:val="2"/>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5"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w:t>
            </w:r>
            <w:r>
              <w:rPr>
                <w:rFonts w:ascii="Times New Roman" w:hAnsi="Times New Roman" w:eastAsia="仿宋_GB2312" w:cs="Times New Roman"/>
                <w:color w:val="auto"/>
                <w:kern w:val="0"/>
                <w:sz w:val="24"/>
                <w:szCs w:val="24"/>
              </w:rPr>
              <w:t>4</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市大数据发展局</w:t>
            </w:r>
          </w:p>
        </w:tc>
        <w:tc>
          <w:tcPr>
            <w:tcW w:w="6663" w:type="dxa"/>
            <w:tcMar>
              <w:top w:w="0" w:type="dxa"/>
              <w:left w:w="57" w:type="dxa"/>
              <w:bottom w:w="0" w:type="dxa"/>
              <w:right w:w="57" w:type="dxa"/>
            </w:tcMar>
            <w:vAlign w:val="center"/>
          </w:tcPr>
          <w:p>
            <w:pPr>
              <w:spacing w:line="420" w:lineRule="exact"/>
              <w:ind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rPr>
              <w:t>推进数据共享，提供数据应用、业务应用支撑。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15</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柳州市税务局</w:t>
            </w:r>
          </w:p>
        </w:tc>
        <w:tc>
          <w:tcPr>
            <w:tcW w:w="6663" w:type="dxa"/>
            <w:tcMar>
              <w:top w:w="0" w:type="dxa"/>
              <w:left w:w="57" w:type="dxa"/>
              <w:bottom w:w="0" w:type="dxa"/>
              <w:right w:w="57" w:type="dxa"/>
            </w:tcMar>
            <w:vAlign w:val="center"/>
          </w:tcPr>
          <w:p>
            <w:pPr>
              <w:widowControl/>
              <w:shd w:val="clear" w:color="auto" w:fill="FFFFFF"/>
              <w:spacing w:line="420" w:lineRule="exact"/>
              <w:ind w:firstLine="480" w:firstLineChars="200"/>
              <w:rPr>
                <w:color w:val="auto"/>
                <w:sz w:val="23"/>
                <w:szCs w:val="23"/>
                <w:shd w:val="clear" w:color="auto" w:fill="FFFFFF"/>
              </w:rPr>
            </w:pPr>
            <w:r>
              <w:rPr>
                <w:rFonts w:ascii="Times New Roman" w:hAnsi="Times New Roman" w:eastAsia="仿宋_GB2312" w:cs="Times New Roman"/>
                <w:color w:val="auto"/>
                <w:kern w:val="0"/>
                <w:sz w:val="24"/>
                <w:szCs w:val="24"/>
              </w:rPr>
              <w:t>1.</w:t>
            </w:r>
            <w:r>
              <w:rPr>
                <w:rFonts w:hint="eastAsia" w:ascii="Times New Roman" w:hAnsi="Times New Roman" w:eastAsia="仿宋_GB2312" w:cs="Times New Roman"/>
                <w:color w:val="auto"/>
                <w:kern w:val="0"/>
                <w:sz w:val="24"/>
                <w:szCs w:val="24"/>
              </w:rPr>
              <w:t>提供企业评价年度税收数据（纳税人名称、纳税人识别号、行业类型、行业代码、应缴税款等</w:t>
            </w:r>
            <w:r>
              <w:rPr>
                <w:rFonts w:hint="eastAsia" w:ascii="Times New Roman" w:hAnsi="Times New Roman" w:eastAsia="仿宋_GB2312" w:cs="Times New Roman"/>
                <w:color w:val="auto"/>
                <w:sz w:val="24"/>
                <w:szCs w:val="24"/>
              </w:rPr>
              <w:t>数据</w:t>
            </w:r>
            <w:r>
              <w:rPr>
                <w:rFonts w:hint="eastAsia" w:ascii="Times New Roman" w:hAnsi="Times New Roman" w:eastAsia="仿宋_GB2312" w:cs="Times New Roman"/>
                <w:color w:val="auto"/>
                <w:kern w:val="0"/>
                <w:sz w:val="24"/>
                <w:szCs w:val="24"/>
              </w:rPr>
              <w:t>）；</w:t>
            </w:r>
          </w:p>
          <w:p>
            <w:pPr>
              <w:autoSpaceDE w:val="0"/>
              <w:autoSpaceDN w:val="0"/>
              <w:adjustRightInd w:val="0"/>
              <w:spacing w:line="420" w:lineRule="exact"/>
              <w:ind w:firstLine="480" w:firstLineChars="200"/>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提供评价年度在税收领域发生重大责任事故或严重违法违规行为的企业数据；</w:t>
            </w:r>
          </w:p>
          <w:p>
            <w:pPr>
              <w:pStyle w:val="2"/>
              <w:spacing w:line="420" w:lineRule="exact"/>
              <w:ind w:firstLine="480"/>
              <w:jc w:val="both"/>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研究提出及实施税收领域的差别化资源配置措施；</w:t>
            </w:r>
          </w:p>
          <w:p>
            <w:pPr>
              <w:spacing w:line="420" w:lineRule="exact"/>
              <w:ind w:firstLine="480" w:firstLineChars="200"/>
              <w:textAlignment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kern w:val="0"/>
                <w:sz w:val="24"/>
                <w:szCs w:val="24"/>
              </w:rPr>
              <w:t>4.</w:t>
            </w:r>
            <w:r>
              <w:rPr>
                <w:rFonts w:hint="eastAsia" w:ascii="Times New Roman" w:hAnsi="Times New Roman" w:eastAsia="仿宋_GB2312" w:cs="Times New Roman"/>
                <w:color w:val="auto"/>
                <w:kern w:val="0"/>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2"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16</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2"/>
                <w:szCs w:val="32"/>
                <w:lang w:val="en-US" w:eastAsia="zh-CN"/>
              </w:rPr>
              <w:t>国家金融监督管理总局柳州监管分局</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sz w:val="24"/>
                <w:szCs w:val="24"/>
              </w:rPr>
              <w:t>研究</w:t>
            </w:r>
            <w:r>
              <w:rPr>
                <w:rFonts w:hint="eastAsia" w:ascii="Times New Roman" w:hAnsi="Times New Roman" w:eastAsia="仿宋_GB2312" w:cs="Times New Roman"/>
                <w:color w:val="auto"/>
                <w:kern w:val="0"/>
                <w:sz w:val="24"/>
                <w:szCs w:val="24"/>
              </w:rPr>
              <w:t>提出</w:t>
            </w:r>
            <w:r>
              <w:rPr>
                <w:rFonts w:hint="eastAsia" w:ascii="Times New Roman" w:hAnsi="Times New Roman" w:eastAsia="仿宋_GB2312" w:cs="Times New Roman"/>
                <w:color w:val="auto"/>
                <w:sz w:val="24"/>
                <w:szCs w:val="24"/>
              </w:rPr>
              <w:t>及实施</w:t>
            </w:r>
            <w:r>
              <w:rPr>
                <w:rFonts w:hint="eastAsia" w:ascii="Times New Roman" w:hAnsi="Times New Roman" w:eastAsia="仿宋_GB2312" w:cs="Times New Roman"/>
                <w:color w:val="auto"/>
                <w:kern w:val="0"/>
                <w:sz w:val="24"/>
                <w:szCs w:val="24"/>
              </w:rPr>
              <w:t>金融扶持领域的差别化资源配置措施。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6"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17</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0"/>
                <w:sz w:val="24"/>
                <w:szCs w:val="24"/>
              </w:rPr>
              <w:t>各县</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rPr>
              <w:t>区人民政府、柳东新区管理委员会、</w:t>
            </w:r>
            <w:r>
              <w:rPr>
                <w:rFonts w:hint="eastAsia" w:ascii="Times New Roman" w:hAnsi="Times New Roman" w:eastAsia="仿宋_GB2312" w:cs="Times New Roman"/>
                <w:color w:val="auto"/>
                <w:kern w:val="0"/>
                <w:sz w:val="24"/>
                <w:szCs w:val="24"/>
                <w:lang w:eastAsia="zh-CN"/>
              </w:rPr>
              <w:t>阳和工业新区（</w:t>
            </w:r>
            <w:r>
              <w:rPr>
                <w:rFonts w:hint="eastAsia" w:ascii="Times New Roman" w:hAnsi="Times New Roman" w:eastAsia="仿宋_GB2312" w:cs="Times New Roman"/>
                <w:color w:val="auto"/>
                <w:kern w:val="0"/>
                <w:sz w:val="24"/>
                <w:szCs w:val="24"/>
              </w:rPr>
              <w:t>北部生态新区</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rPr>
              <w:t>管理委员会</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1.加强宣传“亩均效益”评价工作，引导企业积极参评，落实城区、开发区（工业园区）、企业差别化激励约束措施；</w:t>
            </w:r>
          </w:p>
          <w:p>
            <w:pPr>
              <w:pStyle w:val="2"/>
              <w:spacing w:line="420" w:lineRule="exact"/>
              <w:ind w:firstLine="480"/>
              <w:textAlignment w:val="center"/>
              <w:rPr>
                <w:rFonts w:ascii="Times New Roman" w:hAnsi="Times New Roman" w:eastAsia="仿宋_GB2312" w:cs="Times New Roman"/>
                <w:color w:val="auto"/>
                <w:kern w:val="2"/>
                <w:sz w:val="24"/>
                <w:szCs w:val="28"/>
              </w:rPr>
            </w:pPr>
            <w:r>
              <w:rPr>
                <w:rFonts w:ascii="Times New Roman" w:hAnsi="Times New Roman" w:eastAsia="仿宋_GB2312" w:cs="Times New Roman"/>
                <w:color w:val="auto"/>
                <w:kern w:val="2"/>
                <w:sz w:val="24"/>
                <w:szCs w:val="28"/>
              </w:rPr>
              <w:t>2.</w:t>
            </w:r>
            <w:r>
              <w:rPr>
                <w:rFonts w:hint="eastAsia" w:ascii="Times New Roman" w:hAnsi="Times New Roman" w:eastAsia="仿宋_GB2312" w:cs="Times New Roman"/>
                <w:color w:val="auto"/>
                <w:kern w:val="2"/>
                <w:sz w:val="24"/>
                <w:szCs w:val="28"/>
              </w:rPr>
              <w:t>组织辖区企业提供用地数据，核实企业承租、出租土地（厂房）数据，组织企业复核基础数据；</w:t>
            </w:r>
          </w:p>
          <w:p>
            <w:pPr>
              <w:pStyle w:val="2"/>
              <w:spacing w:line="420" w:lineRule="exact"/>
              <w:ind w:firstLine="480"/>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kern w:val="2"/>
                <w:sz w:val="24"/>
                <w:szCs w:val="28"/>
              </w:rPr>
              <w:t>3</w:t>
            </w:r>
            <w:r>
              <w:rPr>
                <w:rFonts w:ascii="Times New Roman" w:hAnsi="Times New Roman" w:eastAsia="仿宋_GB2312" w:cs="Times New Roman"/>
                <w:color w:val="auto"/>
                <w:kern w:val="2"/>
                <w:sz w:val="24"/>
                <w:szCs w:val="28"/>
              </w:rPr>
              <w:t>.</w:t>
            </w:r>
            <w:r>
              <w:rPr>
                <w:rFonts w:hint="eastAsia" w:ascii="Times New Roman" w:hAnsi="Times New Roman" w:eastAsia="仿宋_GB2312" w:cs="Times New Roman"/>
                <w:color w:val="auto"/>
                <w:kern w:val="2"/>
                <w:sz w:val="24"/>
                <w:szCs w:val="28"/>
              </w:rPr>
              <w:t>配合开展城区、开发区（工业园区）评价基础数据搜集；</w:t>
            </w:r>
          </w:p>
          <w:p>
            <w:pPr>
              <w:widowControl/>
              <w:spacing w:line="420" w:lineRule="exact"/>
              <w:ind w:firstLine="480" w:firstLineChars="200"/>
              <w:textAlignment w:val="center"/>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kern w:val="0"/>
                <w:sz w:val="24"/>
                <w:szCs w:val="24"/>
              </w:rPr>
              <w:t>4.</w:t>
            </w:r>
            <w:r>
              <w:rPr>
                <w:rFonts w:hint="eastAsia" w:ascii="Times New Roman" w:hAnsi="Times New Roman" w:eastAsia="仿宋_GB2312" w:cs="Times New Roman"/>
                <w:color w:val="auto"/>
                <w:kern w:val="0"/>
                <w:sz w:val="24"/>
                <w:szCs w:val="24"/>
              </w:rPr>
              <w:t>对相关单位申诉进行处理并做好解释</w:t>
            </w:r>
            <w:r>
              <w:rPr>
                <w:rFonts w:hint="eastAsia"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2"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18</w:t>
            </w:r>
          </w:p>
        </w:tc>
        <w:tc>
          <w:tcPr>
            <w:tcW w:w="1616"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广西电网有限责任公司柳州供电局</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rPr>
              <w:t>提供本部门管辖领域的企业加分减分项数据；</w:t>
            </w:r>
          </w:p>
          <w:p>
            <w:pPr>
              <w:spacing w:line="40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配合研究提出及实施企业</w:t>
            </w:r>
            <w:r>
              <w:rPr>
                <w:rFonts w:hint="eastAsia" w:ascii="Times New Roman" w:hAnsi="Times New Roman" w:eastAsia="仿宋_GB2312" w:cs="Times New Roman"/>
                <w:color w:val="auto"/>
                <w:kern w:val="0"/>
                <w:sz w:val="24"/>
                <w:szCs w:val="24"/>
              </w:rPr>
              <w:t>差别化</w:t>
            </w:r>
            <w:r>
              <w:rPr>
                <w:rFonts w:hint="eastAsia" w:ascii="Times New Roman" w:hAnsi="Times New Roman" w:eastAsia="仿宋_GB2312" w:cs="Times New Roman"/>
                <w:color w:val="auto"/>
                <w:sz w:val="24"/>
                <w:szCs w:val="24"/>
              </w:rPr>
              <w:t>用电措施；</w:t>
            </w:r>
          </w:p>
          <w:p>
            <w:pPr>
              <w:spacing w:line="400" w:lineRule="exact"/>
              <w:ind w:firstLine="480" w:firstLineChars="200"/>
              <w:textAlignment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5"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kern w:val="0"/>
                <w:sz w:val="24"/>
                <w:szCs w:val="24"/>
              </w:rPr>
              <w:t>19</w:t>
            </w:r>
          </w:p>
        </w:tc>
        <w:tc>
          <w:tcPr>
            <w:tcW w:w="1616" w:type="dxa"/>
            <w:tcMar>
              <w:top w:w="0" w:type="dxa"/>
              <w:left w:w="57" w:type="dxa"/>
              <w:bottom w:w="0" w:type="dxa"/>
              <w:right w:w="57" w:type="dxa"/>
            </w:tcMar>
            <w:vAlign w:val="center"/>
          </w:tcPr>
          <w:p>
            <w:pPr>
              <w:widowControl/>
              <w:spacing w:line="42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szCs w:val="32"/>
              </w:rPr>
              <w:t>柳州中燃城市燃气发展有限公司</w:t>
            </w:r>
            <w:r>
              <w:rPr>
                <w:rFonts w:hint="eastAsia" w:ascii="Times New Roman" w:hAnsi="Times New Roman" w:eastAsia="仿宋_GB2312" w:cs="Times New Roman"/>
                <w:color w:val="auto"/>
                <w:szCs w:val="32"/>
                <w:lang w:eastAsia="zh-CN"/>
              </w:rPr>
              <w:t>、柳州东燃燃气发展有限公司</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rPr>
              <w:t>提供本部门管辖领域的企业加分减分项数据；</w:t>
            </w:r>
          </w:p>
          <w:p>
            <w:pPr>
              <w:spacing w:line="40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配合研究提出及实施企业</w:t>
            </w:r>
            <w:r>
              <w:rPr>
                <w:rFonts w:hint="eastAsia" w:ascii="Times New Roman" w:hAnsi="Times New Roman" w:eastAsia="仿宋_GB2312" w:cs="Times New Roman"/>
                <w:color w:val="auto"/>
                <w:kern w:val="0"/>
                <w:sz w:val="24"/>
                <w:szCs w:val="24"/>
              </w:rPr>
              <w:t>差别化</w:t>
            </w:r>
            <w:r>
              <w:rPr>
                <w:rFonts w:hint="eastAsia" w:ascii="Times New Roman" w:hAnsi="Times New Roman" w:eastAsia="仿宋_GB2312" w:cs="Times New Roman"/>
                <w:color w:val="auto"/>
                <w:sz w:val="24"/>
                <w:szCs w:val="24"/>
              </w:rPr>
              <w:t>用气措施；</w:t>
            </w:r>
          </w:p>
          <w:p>
            <w:pPr>
              <w:widowControl/>
              <w:spacing w:line="400" w:lineRule="exact"/>
              <w:ind w:firstLine="480" w:firstLineChars="200"/>
              <w:textAlignment w:val="center"/>
              <w:rPr>
                <w:rFonts w:ascii="Times New Roman" w:hAnsi="Times New Roman" w:eastAsia="仿宋_GB2312" w:cs="Times New Roman"/>
                <w:color w:val="auto"/>
                <w:kern w:val="0"/>
                <w:sz w:val="24"/>
                <w:szCs w:val="24"/>
                <w:lang w:val="en-US" w:eastAsia="zh-CN" w:bidi="ar-SA"/>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6"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20</w:t>
            </w:r>
          </w:p>
        </w:tc>
        <w:tc>
          <w:tcPr>
            <w:tcW w:w="1616" w:type="dxa"/>
            <w:tcMar>
              <w:top w:w="0" w:type="dxa"/>
              <w:left w:w="57" w:type="dxa"/>
              <w:bottom w:w="0" w:type="dxa"/>
              <w:right w:w="57" w:type="dxa"/>
            </w:tcMar>
            <w:vAlign w:val="center"/>
          </w:tcPr>
          <w:p>
            <w:pPr>
              <w:widowControl/>
              <w:spacing w:line="42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市水务投资集团有限公司</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r>
              <w:rPr>
                <w:rFonts w:hint="eastAsia" w:ascii="Times New Roman" w:hAnsi="Times New Roman" w:eastAsia="仿宋_GB2312" w:cs="Times New Roman"/>
                <w:color w:val="auto"/>
                <w:sz w:val="24"/>
                <w:szCs w:val="24"/>
              </w:rPr>
              <w:t>提供本部门管辖领域的企业加分减分项数据；</w:t>
            </w:r>
          </w:p>
          <w:p>
            <w:pPr>
              <w:spacing w:line="400" w:lineRule="exact"/>
              <w:ind w:firstLine="480" w:firstLineChars="200"/>
              <w:textAlignment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rPr>
              <w:t>配合研究提出及实施企业</w:t>
            </w:r>
            <w:r>
              <w:rPr>
                <w:rFonts w:hint="eastAsia" w:ascii="Times New Roman" w:hAnsi="Times New Roman" w:eastAsia="仿宋_GB2312" w:cs="Times New Roman"/>
                <w:color w:val="auto"/>
                <w:kern w:val="0"/>
                <w:sz w:val="24"/>
                <w:szCs w:val="24"/>
              </w:rPr>
              <w:t>差别化</w:t>
            </w:r>
            <w:r>
              <w:rPr>
                <w:rFonts w:hint="eastAsia" w:ascii="Times New Roman" w:hAnsi="Times New Roman" w:eastAsia="仿宋_GB2312" w:cs="Times New Roman"/>
                <w:color w:val="auto"/>
                <w:sz w:val="24"/>
                <w:szCs w:val="24"/>
              </w:rPr>
              <w:t>用水措施；</w:t>
            </w:r>
          </w:p>
          <w:p>
            <w:pPr>
              <w:spacing w:line="400" w:lineRule="exact"/>
              <w:ind w:firstLine="480" w:firstLineChars="200"/>
              <w:textAlignment w:val="center"/>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rPr>
              <w:t>对相关单位申诉进行处理并做好解释。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4" w:hRule="atLeast"/>
        </w:trPr>
        <w:tc>
          <w:tcPr>
            <w:tcW w:w="709" w:type="dxa"/>
            <w:tcMar>
              <w:top w:w="0" w:type="dxa"/>
              <w:left w:w="57" w:type="dxa"/>
              <w:bottom w:w="0" w:type="dxa"/>
              <w:right w:w="57" w:type="dxa"/>
            </w:tcMar>
            <w:vAlign w:val="center"/>
          </w:tcPr>
          <w:p>
            <w:pPr>
              <w:widowControl/>
              <w:spacing w:line="420" w:lineRule="exact"/>
              <w:jc w:val="center"/>
              <w:textAlignment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21</w:t>
            </w:r>
          </w:p>
        </w:tc>
        <w:tc>
          <w:tcPr>
            <w:tcW w:w="1616" w:type="dxa"/>
            <w:tcMar>
              <w:top w:w="0" w:type="dxa"/>
              <w:left w:w="57" w:type="dxa"/>
              <w:bottom w:w="0" w:type="dxa"/>
              <w:right w:w="57" w:type="dxa"/>
            </w:tcMar>
            <w:vAlign w:val="center"/>
          </w:tcPr>
          <w:p>
            <w:pPr>
              <w:widowControl/>
              <w:spacing w:line="420" w:lineRule="exact"/>
              <w:jc w:val="center"/>
              <w:textAlignment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bidi="ar-SA"/>
              </w:rPr>
              <w:t>中国人民银行柳州市分行</w:t>
            </w:r>
          </w:p>
        </w:tc>
        <w:tc>
          <w:tcPr>
            <w:tcW w:w="6663" w:type="dxa"/>
            <w:tcMar>
              <w:top w:w="0" w:type="dxa"/>
              <w:left w:w="57" w:type="dxa"/>
              <w:bottom w:w="0" w:type="dxa"/>
              <w:right w:w="57" w:type="dxa"/>
            </w:tcMar>
            <w:vAlign w:val="center"/>
          </w:tcPr>
          <w:p>
            <w:pPr>
              <w:widowControl/>
              <w:spacing w:line="420" w:lineRule="exact"/>
              <w:ind w:firstLine="480" w:firstLineChars="200"/>
              <w:textAlignment w:val="center"/>
              <w:rPr>
                <w:rFonts w:eastAsia="仿宋_GB2312" w:asciiTheme="minorHAnsi" w:hAnsiTheme="minorHAnsi" w:cstheme="minorBidi"/>
                <w:color w:val="auto"/>
                <w:kern w:val="2"/>
                <w:sz w:val="21"/>
                <w:szCs w:val="22"/>
                <w:lang w:val="en-US" w:eastAsia="zh-CN" w:bidi="ar-SA"/>
              </w:rPr>
            </w:pPr>
            <w:r>
              <w:rPr>
                <w:rFonts w:hint="eastAsia" w:ascii="Times New Roman" w:hAnsi="Times New Roman" w:eastAsia="仿宋_GB2312" w:cs="Times New Roman"/>
                <w:color w:val="auto"/>
                <w:sz w:val="24"/>
                <w:szCs w:val="24"/>
              </w:rPr>
              <w:t>研究提出及实施</w:t>
            </w:r>
            <w:r>
              <w:rPr>
                <w:rFonts w:hint="eastAsia" w:ascii="Times New Roman" w:hAnsi="Times New Roman" w:eastAsia="仿宋_GB2312" w:cs="Times New Roman"/>
                <w:color w:val="auto"/>
                <w:kern w:val="0"/>
                <w:sz w:val="24"/>
                <w:szCs w:val="24"/>
              </w:rPr>
              <w:t>金融扶持领域的差别化资源配置措施。</w:t>
            </w:r>
          </w:p>
        </w:tc>
      </w:tr>
    </w:tbl>
    <w:p>
      <w:pPr>
        <w:pStyle w:val="3"/>
        <w:spacing w:after="0" w:line="240" w:lineRule="auto"/>
        <w:ind w:firstLine="0" w:firstLineChars="0"/>
        <w:rPr>
          <w:rFonts w:ascii="Times New Roman" w:hAnsi="Times New Roman" w:eastAsia="仿宋_GB2312" w:cs="Times New Roman"/>
          <w:color w:val="auto"/>
          <w:sz w:val="32"/>
          <w:szCs w:val="32"/>
        </w:rPr>
        <w:sectPr>
          <w:footerReference r:id="rId4" w:type="default"/>
          <w:pgSz w:w="11906" w:h="16838"/>
          <w:pgMar w:top="1418" w:right="1701" w:bottom="1418" w:left="1701" w:header="851" w:footer="992" w:gutter="0"/>
          <w:cols w:space="425" w:num="1"/>
          <w:docGrid w:type="linesAndChars" w:linePitch="312" w:charSpace="0"/>
        </w:sectPr>
      </w:pPr>
    </w:p>
    <w:p>
      <w:pPr>
        <w:pStyle w:val="3"/>
        <w:spacing w:after="0" w:line="560" w:lineRule="exact"/>
        <w:ind w:firstLine="0" w:firstLineChars="0"/>
        <w:outlineLvl w:val="0"/>
        <w:rPr>
          <w:rFonts w:ascii="Times New Roman" w:hAnsi="Times New Roman" w:eastAsia="仿宋_GB2312" w:cs="Times New Roman"/>
          <w:color w:val="auto"/>
          <w:sz w:val="32"/>
          <w:shd w:val="clear" w:color="auto" w:fill="FFFFFF"/>
        </w:rPr>
      </w:pPr>
      <w:r>
        <w:rPr>
          <w:rFonts w:hint="eastAsia" w:ascii="Times New Roman" w:hAnsi="Times New Roman" w:eastAsia="仿宋_GB2312" w:cs="Times New Roman"/>
          <w:color w:val="auto"/>
          <w:sz w:val="32"/>
          <w:shd w:val="clear" w:color="auto" w:fill="FFFFFF"/>
        </w:rPr>
        <w:t>附件</w:t>
      </w:r>
      <w:r>
        <w:rPr>
          <w:rFonts w:ascii="Times New Roman" w:hAnsi="Times New Roman" w:eastAsia="仿宋_GB2312" w:cs="Times New Roman"/>
          <w:color w:val="auto"/>
          <w:sz w:val="32"/>
          <w:shd w:val="clear" w:color="auto" w:fill="FFFFFF"/>
        </w:rPr>
        <w:t>3</w:t>
      </w:r>
    </w:p>
    <w:p>
      <w:pPr>
        <w:pStyle w:val="3"/>
        <w:spacing w:after="0" w:line="240" w:lineRule="auto"/>
        <w:ind w:firstLine="0" w:firstLineChars="0"/>
        <w:jc w:val="center"/>
        <w:outlineLvl w:val="0"/>
        <w:rPr>
          <w:rFonts w:ascii="Times New Roman" w:hAnsi="Times New Roman" w:eastAsia="方正小标宋简体" w:cs="Times New Roman"/>
          <w:bCs/>
          <w:color w:val="auto"/>
          <w:sz w:val="32"/>
          <w:szCs w:val="32"/>
          <w:shd w:val="clear" w:color="auto" w:fill="FFFFFF"/>
        </w:rPr>
      </w:pPr>
      <w:r>
        <w:rPr>
          <w:rFonts w:hint="eastAsia" w:ascii="华文中宋" w:hAnsi="华文中宋" w:eastAsia="华文中宋" w:cs="华文中宋"/>
          <w:bCs/>
          <w:color w:val="auto"/>
          <w:sz w:val="32"/>
          <w:szCs w:val="32"/>
          <w:shd w:val="clear" w:color="auto" w:fill="FFFFFF"/>
        </w:rPr>
        <w:t>城区</w:t>
      </w:r>
      <w:r>
        <w:rPr>
          <w:rFonts w:hint="eastAsia" w:ascii="华文中宋" w:hAnsi="华文中宋" w:eastAsia="华文中宋" w:cs="华文中宋"/>
          <w:color w:val="auto"/>
          <w:sz w:val="32"/>
          <w:shd w:val="clear" w:color="auto" w:fill="FFFFFF"/>
        </w:rPr>
        <w:t>“亩均效益”</w:t>
      </w:r>
      <w:r>
        <w:rPr>
          <w:rFonts w:hint="eastAsia" w:ascii="华文中宋" w:hAnsi="华文中宋" w:eastAsia="华文中宋" w:cs="华文中宋"/>
          <w:bCs/>
          <w:color w:val="auto"/>
          <w:sz w:val="32"/>
          <w:szCs w:val="32"/>
          <w:shd w:val="clear" w:color="auto" w:fill="FFFFFF"/>
        </w:rPr>
        <w:t>评价指标核算规则</w:t>
      </w:r>
    </w:p>
    <w:tbl>
      <w:tblPr>
        <w:tblStyle w:val="11"/>
        <w:tblW w:w="5216" w:type="pct"/>
        <w:tblInd w:w="0" w:type="dxa"/>
        <w:tblLayout w:type="fixed"/>
        <w:tblCellMar>
          <w:top w:w="0" w:type="dxa"/>
          <w:left w:w="108" w:type="dxa"/>
          <w:bottom w:w="0" w:type="dxa"/>
          <w:right w:w="108" w:type="dxa"/>
        </w:tblCellMar>
      </w:tblPr>
      <w:tblGrid>
        <w:gridCol w:w="818"/>
        <w:gridCol w:w="1277"/>
        <w:gridCol w:w="1981"/>
        <w:gridCol w:w="2551"/>
        <w:gridCol w:w="2411"/>
      </w:tblGrid>
      <w:tr>
        <w:tblPrEx>
          <w:tblCellMar>
            <w:top w:w="0" w:type="dxa"/>
            <w:left w:w="108" w:type="dxa"/>
            <w:bottom w:w="0" w:type="dxa"/>
            <w:right w:w="108" w:type="dxa"/>
          </w:tblCellMar>
        </w:tblPrEx>
        <w:trPr>
          <w:trHeight w:val="448"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指标名称</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评分方法</w:t>
            </w:r>
          </w:p>
        </w:tc>
        <w:tc>
          <w:tcPr>
            <w:tcW w:w="1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指标说明</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指标来源和审核</w:t>
            </w:r>
          </w:p>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认定部门</w:t>
            </w:r>
          </w:p>
        </w:tc>
      </w:tr>
      <w:tr>
        <w:tblPrEx>
          <w:tblCellMar>
            <w:top w:w="0" w:type="dxa"/>
            <w:left w:w="108" w:type="dxa"/>
            <w:bottom w:w="0" w:type="dxa"/>
            <w:right w:w="108" w:type="dxa"/>
          </w:tblCellMar>
        </w:tblPrEx>
        <w:trPr>
          <w:trHeight w:val="2101" w:hRule="atLeast"/>
        </w:trPr>
        <w:tc>
          <w:tcPr>
            <w:tcW w:w="452" w:type="pct"/>
            <w:tcBorders>
              <w:top w:val="single" w:color="000000" w:sz="4" w:space="0"/>
              <w:left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1</w:t>
            </w:r>
          </w:p>
        </w:tc>
        <w:tc>
          <w:tcPr>
            <w:tcW w:w="706" w:type="pct"/>
            <w:tcBorders>
              <w:top w:val="single" w:color="000000" w:sz="4" w:space="0"/>
              <w:left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建设用地亩均</w:t>
            </w:r>
            <w:r>
              <w:rPr>
                <w:rFonts w:ascii="Times New Roman" w:hAnsi="Times New Roman" w:eastAsia="仿宋_GB2312" w:cs="Times New Roman"/>
                <w:color w:val="auto"/>
                <w:sz w:val="24"/>
                <w:szCs w:val="28"/>
              </w:rPr>
              <w:t>GDP</w:t>
            </w:r>
            <w:r>
              <w:rPr>
                <w:rFonts w:hint="eastAsia" w:ascii="Times New Roman" w:hAnsi="Times New Roman" w:eastAsia="仿宋_GB2312" w:cs="Times New Roman"/>
                <w:color w:val="auto"/>
                <w:sz w:val="24"/>
                <w:szCs w:val="28"/>
              </w:rPr>
              <w:t>（单位：万元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亩）</w:t>
            </w:r>
          </w:p>
        </w:tc>
        <w:tc>
          <w:tcPr>
            <w:tcW w:w="1096" w:type="pct"/>
            <w:tcBorders>
              <w:top w:val="single" w:color="000000" w:sz="4" w:space="0"/>
              <w:left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建设用地亩均</w:t>
            </w:r>
            <w:r>
              <w:rPr>
                <w:rFonts w:ascii="Times New Roman" w:hAnsi="Times New Roman" w:eastAsia="仿宋_GB2312" w:cs="Times New Roman"/>
                <w:color w:val="auto"/>
                <w:sz w:val="24"/>
                <w:szCs w:val="28"/>
              </w:rPr>
              <w:t>GDP</w:t>
            </w:r>
            <w:r>
              <w:rPr>
                <w:rFonts w:hint="eastAsia" w:ascii="Times New Roman" w:hAnsi="Times New Roman" w:eastAsia="仿宋_GB2312" w:cs="Times New Roman"/>
                <w:color w:val="auto"/>
                <w:sz w:val="24"/>
                <w:szCs w:val="28"/>
              </w:rPr>
              <w:t>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w:t>
            </w:r>
            <w:r>
              <w:rPr>
                <w:rFonts w:ascii="Times New Roman" w:hAnsi="Times New Roman" w:eastAsia="仿宋_GB2312" w:cs="Times New Roman"/>
                <w:color w:val="auto"/>
                <w:sz w:val="24"/>
                <w:szCs w:val="28"/>
              </w:rPr>
              <w:t>GDP</w:t>
            </w:r>
            <w:r>
              <w:rPr>
                <w:rFonts w:hint="eastAsia" w:ascii="Times New Roman" w:hAnsi="Times New Roman" w:eastAsia="仿宋_GB2312" w:cs="Times New Roman"/>
                <w:color w:val="auto"/>
                <w:sz w:val="24"/>
                <w:szCs w:val="28"/>
              </w:rPr>
              <w:t>总量</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建设用地总面积）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Style w:val="25"/>
                <w:rFonts w:eastAsia="仿宋_GB2312"/>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411" w:type="pct"/>
            <w:tcBorders>
              <w:top w:val="single" w:color="000000" w:sz="4" w:space="0"/>
              <w:left w:val="single" w:color="000000"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建设用地亩均GDP：城区地区生产总值（GDP）与建设用地面积之比，反映城区社会经济发展总体情况。</w:t>
            </w:r>
          </w:p>
        </w:tc>
        <w:tc>
          <w:tcPr>
            <w:tcW w:w="1334" w:type="pct"/>
            <w:tcBorders>
              <w:top w:val="single" w:color="000000" w:sz="4" w:space="0"/>
              <w:left w:val="single" w:color="000000"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1.地区生产总值（市统计局）；</w:t>
            </w:r>
          </w:p>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2.建设用地面积（市自然资源和规划局）。</w:t>
            </w:r>
          </w:p>
        </w:tc>
      </w:tr>
      <w:tr>
        <w:tblPrEx>
          <w:tblCellMar>
            <w:top w:w="0" w:type="dxa"/>
            <w:left w:w="108" w:type="dxa"/>
            <w:bottom w:w="0" w:type="dxa"/>
            <w:right w:w="108" w:type="dxa"/>
          </w:tblCellMar>
        </w:tblPrEx>
        <w:trPr>
          <w:trHeight w:val="1976"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亩均税收（单位：万元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亩）</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亩均税收得分</w:t>
            </w:r>
            <w:r>
              <w:rPr>
                <w:rStyle w:val="25"/>
                <w:rFonts w:eastAsia="仿宋_GB2312"/>
                <w:color w:val="auto"/>
                <w:sz w:val="24"/>
                <w:szCs w:val="28"/>
              </w:rPr>
              <w:t>=</w:t>
            </w:r>
            <w:r>
              <w:rPr>
                <w:rStyle w:val="27"/>
                <w:rFonts w:hint="default" w:ascii="Times New Roman" w:hAnsi="Times New Roman" w:eastAsia="仿宋_GB2312" w:cs="Times New Roman"/>
                <w:color w:val="auto"/>
                <w:sz w:val="24"/>
                <w:szCs w:val="28"/>
              </w:rPr>
              <w:t>（税收总额÷建设用地面积）</w:t>
            </w:r>
            <w:r>
              <w:rPr>
                <w:rStyle w:val="25"/>
                <w:rFonts w:eastAsia="仿宋_GB2312"/>
                <w:color w:val="auto"/>
                <w:sz w:val="24"/>
                <w:szCs w:val="28"/>
              </w:rPr>
              <w:t>÷</w:t>
            </w:r>
            <w:r>
              <w:rPr>
                <w:rStyle w:val="27"/>
                <w:rFonts w:hint="default" w:ascii="Times New Roman" w:hAnsi="Times New Roman" w:eastAsia="仿宋_GB2312" w:cs="Times New Roman"/>
                <w:color w:val="auto"/>
                <w:sz w:val="24"/>
                <w:szCs w:val="28"/>
              </w:rPr>
              <w:t>基准值</w:t>
            </w:r>
            <w:r>
              <w:rPr>
                <w:rStyle w:val="25"/>
                <w:rFonts w:eastAsia="仿宋_GB2312"/>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pacing w:line="400" w:lineRule="exact"/>
              <w:jc w:val="lef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8"/>
              </w:rPr>
              <w:t>亩均税收：城区税收收入与建设用地面积之比，反映城区土地税收情况。</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1.城区税收收入（柳州市税务局）；</w:t>
            </w:r>
          </w:p>
          <w:p>
            <w:pPr>
              <w:pStyle w:val="2"/>
              <w:ind w:firstLine="0" w:firstLineChars="0"/>
              <w:rPr>
                <w:rFonts w:ascii="Times New Roman" w:hAnsi="Times New Roman" w:eastAsia="仿宋_GB2312" w:cs="Times New Roman"/>
                <w:color w:val="auto"/>
                <w:sz w:val="24"/>
                <w:szCs w:val="28"/>
              </w:rPr>
            </w:pPr>
            <w:r>
              <w:rPr>
                <w:rFonts w:ascii="Times New Roman" w:hAnsi="Times New Roman" w:eastAsia="仿宋_GB2312" w:cs="Times New Roman"/>
                <w:color w:val="auto"/>
                <w:kern w:val="2"/>
                <w:sz w:val="24"/>
                <w:szCs w:val="28"/>
              </w:rPr>
              <w:t>2.</w:t>
            </w:r>
            <w:r>
              <w:rPr>
                <w:rFonts w:hint="eastAsia" w:ascii="Times New Roman" w:hAnsi="Times New Roman" w:eastAsia="仿宋_GB2312" w:cs="Times New Roman"/>
                <w:color w:val="auto"/>
                <w:kern w:val="2"/>
                <w:sz w:val="24"/>
                <w:szCs w:val="28"/>
              </w:rPr>
              <w:t>建设用地面积（市自然资源规划局）。</w:t>
            </w:r>
          </w:p>
        </w:tc>
      </w:tr>
      <w:tr>
        <w:tblPrEx>
          <w:tblCellMar>
            <w:top w:w="0" w:type="dxa"/>
            <w:left w:w="108" w:type="dxa"/>
            <w:bottom w:w="0" w:type="dxa"/>
            <w:right w:w="108" w:type="dxa"/>
          </w:tblCellMar>
        </w:tblPrEx>
        <w:trPr>
          <w:trHeight w:val="2543"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亩均工业产值（单位：万元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亩）</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亩均工业产值得分</w:t>
            </w:r>
            <w:r>
              <w:rPr>
                <w:rStyle w:val="25"/>
                <w:rFonts w:eastAsia="仿宋_GB2312"/>
                <w:color w:val="auto"/>
                <w:sz w:val="24"/>
                <w:szCs w:val="28"/>
              </w:rPr>
              <w:t>=</w:t>
            </w:r>
            <w:r>
              <w:rPr>
                <w:rStyle w:val="26"/>
                <w:rFonts w:hint="eastAsia" w:ascii="Times New Roman" w:hAnsi="Times New Roman" w:eastAsia="仿宋_GB2312" w:cs="Times New Roman"/>
                <w:color w:val="auto"/>
                <w:sz w:val="24"/>
                <w:szCs w:val="28"/>
              </w:rPr>
              <w:t>（工业总产值</w:t>
            </w:r>
            <w:r>
              <w:rPr>
                <w:rStyle w:val="27"/>
                <w:rFonts w:hint="default" w:ascii="Times New Roman" w:hAnsi="Times New Roman" w:eastAsia="仿宋_GB2312" w:cs="Times New Roman"/>
                <w:color w:val="auto"/>
                <w:sz w:val="24"/>
                <w:szCs w:val="28"/>
              </w:rPr>
              <w:t>÷工矿仓储用地面积</w:t>
            </w:r>
            <w:r>
              <w:rPr>
                <w:rStyle w:val="26"/>
                <w:rFonts w:hint="eastAsia" w:ascii="Times New Roman" w:hAnsi="Times New Roman" w:eastAsia="仿宋_GB2312" w:cs="Times New Roman"/>
                <w:color w:val="auto"/>
                <w:sz w:val="24"/>
                <w:szCs w:val="28"/>
              </w:rPr>
              <w:t>）</w:t>
            </w:r>
            <w:r>
              <w:rPr>
                <w:rStyle w:val="25"/>
                <w:rFonts w:eastAsia="仿宋_GB2312"/>
                <w:color w:val="auto"/>
                <w:sz w:val="24"/>
                <w:szCs w:val="28"/>
              </w:rPr>
              <w:t>÷</w:t>
            </w:r>
            <w:r>
              <w:rPr>
                <w:rStyle w:val="27"/>
                <w:rFonts w:hint="default" w:ascii="Times New Roman" w:hAnsi="Times New Roman" w:eastAsia="仿宋_GB2312" w:cs="Times New Roman"/>
                <w:color w:val="auto"/>
                <w:sz w:val="24"/>
                <w:szCs w:val="28"/>
              </w:rPr>
              <w:t>基准值</w:t>
            </w:r>
            <w:r>
              <w:rPr>
                <w:rStyle w:val="25"/>
                <w:rFonts w:eastAsia="仿宋_GB2312"/>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亩均工业产值：已建成城镇建设用地范围内工业（物流）企业总产值与工矿仓储用地面积之比，反映城区工业土地产出情况。</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1.</w:t>
            </w:r>
            <w:r>
              <w:rPr>
                <w:rFonts w:hint="eastAsia" w:ascii="Times New Roman" w:hAnsi="Times New Roman" w:eastAsia="仿宋_GB2312" w:cs="Times New Roman"/>
                <w:color w:val="auto"/>
                <w:sz w:val="24"/>
                <w:szCs w:val="28"/>
              </w:rPr>
              <w:t>工矿仓储用地面积（市自然资源和规划局）；</w:t>
            </w:r>
          </w:p>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2.工业总产值（市统计局）。</w:t>
            </w:r>
          </w:p>
        </w:tc>
      </w:tr>
      <w:tr>
        <w:tblPrEx>
          <w:tblCellMar>
            <w:top w:w="0" w:type="dxa"/>
            <w:left w:w="108" w:type="dxa"/>
            <w:bottom w:w="0" w:type="dxa"/>
            <w:right w:w="108" w:type="dxa"/>
          </w:tblCellMar>
        </w:tblPrEx>
        <w:trPr>
          <w:trHeight w:val="2267"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批而未供土地处置率</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批而未供土地处置率达到年度目标的得</w:t>
            </w:r>
            <w:r>
              <w:rPr>
                <w:rFonts w:ascii="Times New Roman" w:hAnsi="Times New Roman" w:eastAsia="仿宋_GB2312" w:cs="Times New Roman"/>
                <w:color w:val="auto"/>
                <w:sz w:val="24"/>
                <w:szCs w:val="28"/>
              </w:rPr>
              <w:t>10</w:t>
            </w:r>
            <w:r>
              <w:rPr>
                <w:rFonts w:hint="eastAsia" w:ascii="Times New Roman" w:hAnsi="Times New Roman" w:eastAsia="仿宋_GB2312" w:cs="Times New Roman"/>
                <w:color w:val="auto"/>
                <w:sz w:val="24"/>
                <w:szCs w:val="28"/>
              </w:rPr>
              <w:t>分，每低于目标值</w:t>
            </w:r>
            <w:r>
              <w:rPr>
                <w:rFonts w:ascii="Times New Roman" w:hAnsi="Times New Roman" w:eastAsia="仿宋_GB2312" w:cs="Times New Roman"/>
                <w:color w:val="auto"/>
                <w:sz w:val="24"/>
                <w:szCs w:val="28"/>
              </w:rPr>
              <w:t>0.5</w:t>
            </w:r>
            <w:r>
              <w:rPr>
                <w:rFonts w:hint="eastAsia" w:ascii="Times New Roman" w:hAnsi="Times New Roman" w:eastAsia="仿宋_GB2312" w:cs="Times New Roman"/>
                <w:color w:val="auto"/>
                <w:sz w:val="24"/>
                <w:szCs w:val="28"/>
              </w:rPr>
              <w:t>个百分点扣</w:t>
            </w:r>
            <w:r>
              <w:rPr>
                <w:rFonts w:ascii="Times New Roman" w:hAnsi="Times New Roman" w:eastAsia="仿宋_GB2312" w:cs="Times New Roman"/>
                <w:color w:val="auto"/>
                <w:sz w:val="24"/>
                <w:szCs w:val="28"/>
              </w:rPr>
              <w:t>0.5</w:t>
            </w:r>
            <w:r>
              <w:rPr>
                <w:rFonts w:hint="eastAsia" w:ascii="Times New Roman" w:hAnsi="Times New Roman" w:eastAsia="仿宋_GB2312" w:cs="Times New Roman"/>
                <w:color w:val="auto"/>
                <w:sz w:val="24"/>
                <w:szCs w:val="28"/>
              </w:rPr>
              <w:t>分，直至扣完</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批而未供土地处置率为批而未供土地消化面积与批而未供土地任务基数之比。</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批而未供土地处置率（市自然资源和规划局）。</w:t>
            </w:r>
          </w:p>
        </w:tc>
      </w:tr>
      <w:tr>
        <w:tblPrEx>
          <w:tblCellMar>
            <w:top w:w="0" w:type="dxa"/>
            <w:left w:w="108" w:type="dxa"/>
            <w:bottom w:w="0" w:type="dxa"/>
            <w:right w:w="108" w:type="dxa"/>
          </w:tblCellMar>
        </w:tblPrEx>
        <w:trPr>
          <w:trHeight w:val="2399"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闲置土地发生率（单位：</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w:t>
            </w:r>
          </w:p>
        </w:tc>
        <w:tc>
          <w:tcPr>
            <w:tcW w:w="10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400" w:lineRule="exact"/>
              <w:ind w:firstLine="0" w:firstLineChars="0"/>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kern w:val="2"/>
                <w:sz w:val="24"/>
                <w:szCs w:val="28"/>
              </w:rPr>
              <w:t>闲置土地发生率得分</w:t>
            </w:r>
            <w:r>
              <w:rPr>
                <w:rStyle w:val="25"/>
                <w:rFonts w:eastAsia="仿宋_GB2312"/>
                <w:color w:val="auto"/>
                <w:sz w:val="24"/>
                <w:szCs w:val="28"/>
              </w:rPr>
              <w:t>=</w:t>
            </w:r>
            <w:r>
              <w:rPr>
                <w:rStyle w:val="27"/>
                <w:rFonts w:hint="default" w:ascii="Times New Roman" w:hAnsi="Times New Roman" w:eastAsia="仿宋_GB2312" w:cs="Times New Roman"/>
                <w:color w:val="auto"/>
                <w:sz w:val="24"/>
                <w:szCs w:val="28"/>
              </w:rPr>
              <w:t>（闲置土地面积÷2009年以来供应的土地面积）</w:t>
            </w:r>
            <w:r>
              <w:rPr>
                <w:rStyle w:val="25"/>
                <w:rFonts w:eastAsia="仿宋_GB2312"/>
                <w:color w:val="auto"/>
                <w:sz w:val="24"/>
                <w:szCs w:val="28"/>
              </w:rPr>
              <w:t>÷</w:t>
            </w:r>
            <w:r>
              <w:rPr>
                <w:rStyle w:val="27"/>
                <w:rFonts w:hint="default" w:ascii="Times New Roman" w:hAnsi="Times New Roman" w:eastAsia="仿宋_GB2312" w:cs="Times New Roman"/>
                <w:color w:val="auto"/>
                <w:sz w:val="24"/>
                <w:szCs w:val="28"/>
              </w:rPr>
              <w:t>基准值</w:t>
            </w:r>
            <w:r>
              <w:rPr>
                <w:rStyle w:val="25"/>
                <w:rFonts w:eastAsia="仿宋_GB2312"/>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仿宋_GB2312" w:hAnsi="方正仿宋_GBK" w:eastAsia="仿宋_GB2312" w:cs="方正仿宋_GBK"/>
                <w:color w:val="auto"/>
                <w:sz w:val="24"/>
                <w:szCs w:val="24"/>
              </w:rPr>
              <w:t>闲置土地发生率：闲置土地面积与</w:t>
            </w:r>
            <w:r>
              <w:rPr>
                <w:rFonts w:ascii="仿宋_GB2312" w:hAnsi="方正仿宋_GBK" w:eastAsia="仿宋_GB2312" w:cs="方正仿宋_GBK"/>
                <w:color w:val="auto"/>
                <w:sz w:val="24"/>
                <w:szCs w:val="24"/>
              </w:rPr>
              <w:t>2009年以来区域内供应的土地面积之比，反映城区土地闲置情况。</w:t>
            </w:r>
          </w:p>
        </w:tc>
        <w:tc>
          <w:tcPr>
            <w:tcW w:w="1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闲置土地面积、2009年以来供应土地面积（市自然资源和规划局）。</w:t>
            </w:r>
          </w:p>
        </w:tc>
      </w:tr>
    </w:tbl>
    <w:p>
      <w:pPr>
        <w:pStyle w:val="3"/>
        <w:spacing w:after="0" w:line="560" w:lineRule="exact"/>
        <w:ind w:firstLine="0" w:firstLineChars="0"/>
        <w:rPr>
          <w:rFonts w:ascii="Times New Roman" w:hAnsi="Times New Roman" w:eastAsia="仿宋_GB2312" w:cs="Times New Roman"/>
          <w:color w:val="auto"/>
          <w:sz w:val="32"/>
          <w:szCs w:val="32"/>
        </w:rPr>
        <w:sectPr>
          <w:pgSz w:w="11850" w:h="16783"/>
          <w:pgMar w:top="1440" w:right="1701" w:bottom="1440" w:left="1701" w:header="851" w:footer="992" w:gutter="0"/>
          <w:cols w:space="425" w:num="1"/>
          <w:docGrid w:type="lines" w:linePitch="312" w:charSpace="0"/>
        </w:sectPr>
      </w:pPr>
    </w:p>
    <w:p>
      <w:pPr>
        <w:pStyle w:val="3"/>
        <w:spacing w:after="0" w:line="560" w:lineRule="exact"/>
        <w:ind w:firstLine="0" w:firstLineChars="0"/>
        <w:outlineLvl w:val="0"/>
        <w:rPr>
          <w:rFonts w:ascii="Times New Roman" w:hAnsi="Times New Roman" w:eastAsia="仿宋_GB2312" w:cs="Times New Roman"/>
          <w:color w:val="auto"/>
          <w:sz w:val="32"/>
          <w:shd w:val="clear" w:color="auto" w:fill="FFFFFF"/>
        </w:rPr>
      </w:pPr>
      <w:r>
        <w:rPr>
          <w:rFonts w:hint="eastAsia" w:ascii="Times New Roman" w:hAnsi="Times New Roman" w:eastAsia="仿宋_GB2312" w:cs="Times New Roman"/>
          <w:color w:val="auto"/>
          <w:sz w:val="32"/>
          <w:shd w:val="clear" w:color="auto" w:fill="FFFFFF"/>
        </w:rPr>
        <w:t>附件</w:t>
      </w:r>
      <w:r>
        <w:rPr>
          <w:rFonts w:ascii="Times New Roman" w:hAnsi="Times New Roman" w:eastAsia="仿宋_GB2312" w:cs="Times New Roman"/>
          <w:color w:val="auto"/>
          <w:sz w:val="32"/>
          <w:shd w:val="clear" w:color="auto" w:fill="FFFFFF"/>
        </w:rPr>
        <w:t>4</w:t>
      </w:r>
    </w:p>
    <w:p>
      <w:pPr>
        <w:pStyle w:val="3"/>
        <w:spacing w:after="0" w:line="240" w:lineRule="auto"/>
        <w:ind w:firstLine="0" w:firstLineChars="0"/>
        <w:jc w:val="center"/>
        <w:outlineLvl w:val="0"/>
        <w:rPr>
          <w:rFonts w:ascii="华文中宋" w:hAnsi="华文中宋" w:eastAsia="华文中宋" w:cs="华文中宋"/>
          <w:bCs/>
          <w:color w:val="auto"/>
          <w:sz w:val="32"/>
          <w:szCs w:val="32"/>
          <w:shd w:val="clear" w:color="auto" w:fill="FFFFFF"/>
        </w:rPr>
      </w:pPr>
      <w:r>
        <w:rPr>
          <w:rFonts w:hint="eastAsia" w:ascii="华文中宋" w:hAnsi="华文中宋" w:eastAsia="华文中宋" w:cs="华文中宋"/>
          <w:bCs/>
          <w:color w:val="auto"/>
          <w:sz w:val="32"/>
          <w:szCs w:val="32"/>
          <w:shd w:val="clear" w:color="auto" w:fill="FFFFFF"/>
        </w:rPr>
        <w:t>开发区（工业园区）</w:t>
      </w:r>
      <w:r>
        <w:rPr>
          <w:rFonts w:hint="eastAsia" w:ascii="华文中宋" w:hAnsi="华文中宋" w:eastAsia="华文中宋" w:cs="华文中宋"/>
          <w:color w:val="auto"/>
          <w:sz w:val="32"/>
          <w:shd w:val="clear" w:color="auto" w:fill="FFFFFF"/>
        </w:rPr>
        <w:t>“亩均效益”</w:t>
      </w:r>
      <w:r>
        <w:rPr>
          <w:rFonts w:hint="eastAsia" w:ascii="华文中宋" w:hAnsi="华文中宋" w:eastAsia="华文中宋" w:cs="华文中宋"/>
          <w:bCs/>
          <w:color w:val="auto"/>
          <w:sz w:val="32"/>
          <w:szCs w:val="32"/>
          <w:shd w:val="clear" w:color="auto" w:fill="FFFFFF"/>
        </w:rPr>
        <w:t>评价指标核算规则</w:t>
      </w:r>
    </w:p>
    <w:tbl>
      <w:tblPr>
        <w:tblStyle w:val="11"/>
        <w:tblW w:w="52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397"/>
        <w:gridCol w:w="1698"/>
        <w:gridCol w:w="297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395" w:type="pct"/>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序号</w:t>
            </w:r>
          </w:p>
        </w:tc>
        <w:tc>
          <w:tcPr>
            <w:tcW w:w="785" w:type="pct"/>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指标名称</w:t>
            </w:r>
          </w:p>
        </w:tc>
        <w:tc>
          <w:tcPr>
            <w:tcW w:w="954" w:type="pct"/>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评分方法</w:t>
            </w:r>
          </w:p>
        </w:tc>
        <w:tc>
          <w:tcPr>
            <w:tcW w:w="1672" w:type="pct"/>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指标说明</w:t>
            </w:r>
          </w:p>
        </w:tc>
        <w:tc>
          <w:tcPr>
            <w:tcW w:w="1194" w:type="pct"/>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指标来源和审核</w:t>
            </w:r>
          </w:p>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认定部门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trPr>
        <w:tc>
          <w:tcPr>
            <w:tcW w:w="395" w:type="pct"/>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1</w:t>
            </w:r>
          </w:p>
        </w:tc>
        <w:tc>
          <w:tcPr>
            <w:tcW w:w="785"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亩均工业产值（单位：万元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亩）</w:t>
            </w:r>
          </w:p>
        </w:tc>
        <w:tc>
          <w:tcPr>
            <w:tcW w:w="954"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亩均工业产值得分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（工业总产值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工矿仓储用地面积）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Style w:val="25"/>
                <w:rFonts w:eastAsia="仿宋_GB2312"/>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672" w:type="pct"/>
            <w:shd w:val="clear" w:color="auto" w:fill="auto"/>
            <w:vAlign w:val="center"/>
          </w:tcPr>
          <w:p>
            <w:pPr>
              <w:spacing w:line="400" w:lineRule="exac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亩均工业产值：已建成城镇建设用地范围内工业（物流）企业工业总产值与工矿仓储用地面积之比城市规划行政主管部门确定的建设用地面积（不含代征地）工矿仓储用地之比，反映开发区工业土地产出情况。</w:t>
            </w:r>
          </w:p>
        </w:tc>
        <w:tc>
          <w:tcPr>
            <w:tcW w:w="1194" w:type="pct"/>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1</w:t>
            </w:r>
            <w:r>
              <w:rPr>
                <w:rFonts w:hint="eastAsia" w:ascii="Times New Roman" w:hAnsi="Times New Roman" w:eastAsia="仿宋_GB2312" w:cs="Times New Roman"/>
                <w:color w:val="auto"/>
                <w:sz w:val="24"/>
                <w:szCs w:val="28"/>
              </w:rPr>
              <w:t>.工业总产值</w:t>
            </w:r>
            <w:r>
              <w:rPr>
                <w:rFonts w:hint="eastAsia" w:ascii="Times New Roman" w:hAnsi="Times New Roman" w:eastAsia="仿宋_GB2312" w:cs="Times New Roman"/>
                <w:color w:val="auto"/>
                <w:sz w:val="24"/>
                <w:szCs w:val="28"/>
                <w:highlight w:val="none"/>
              </w:rPr>
              <w:t>（</w:t>
            </w:r>
            <w:r>
              <w:rPr>
                <w:rFonts w:hint="eastAsia" w:ascii="Times New Roman" w:hAnsi="Times New Roman" w:eastAsia="仿宋_GB2312" w:cs="Times New Roman"/>
                <w:color w:val="auto"/>
                <w:sz w:val="24"/>
                <w:szCs w:val="28"/>
                <w:highlight w:val="none"/>
                <w:lang w:eastAsia="zh-CN"/>
              </w:rPr>
              <w:t>各县、区人民政府</w:t>
            </w:r>
            <w:r>
              <w:rPr>
                <w:rFonts w:hint="eastAsia" w:ascii="Times New Roman" w:hAnsi="Times New Roman" w:eastAsia="仿宋_GB2312" w:cs="Times New Roman"/>
                <w:color w:val="auto"/>
                <w:sz w:val="24"/>
                <w:szCs w:val="28"/>
                <w:highlight w:val="none"/>
              </w:rPr>
              <w:t>）</w:t>
            </w:r>
            <w:r>
              <w:rPr>
                <w:rFonts w:hint="eastAsia" w:ascii="Times New Roman" w:hAnsi="Times New Roman" w:eastAsia="仿宋_GB2312" w:cs="Times New Roman"/>
                <w:color w:val="auto"/>
                <w:sz w:val="24"/>
                <w:szCs w:val="28"/>
              </w:rPr>
              <w:t>；</w:t>
            </w:r>
          </w:p>
          <w:p>
            <w:pPr>
              <w:spacing w:line="400" w:lineRule="exact"/>
              <w:jc w:val="left"/>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2.</w:t>
            </w:r>
            <w:r>
              <w:rPr>
                <w:rFonts w:hint="eastAsia" w:ascii="Times New Roman" w:hAnsi="Times New Roman" w:eastAsia="仿宋_GB2312" w:cs="Times New Roman"/>
                <w:color w:val="auto"/>
                <w:sz w:val="24"/>
                <w:szCs w:val="28"/>
              </w:rPr>
              <w:t>工矿仓储用地面积（市自然资源和规划局）；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395" w:type="pct"/>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2</w:t>
            </w:r>
          </w:p>
        </w:tc>
        <w:tc>
          <w:tcPr>
            <w:tcW w:w="785"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亩均工业增加值（单位：万元/亩）</w:t>
            </w:r>
          </w:p>
        </w:tc>
        <w:tc>
          <w:tcPr>
            <w:tcW w:w="954"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亩均工业增加值得分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（工业增加值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已建成工矿仓储用地面积）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672" w:type="pct"/>
            <w:shd w:val="clear" w:color="auto" w:fill="auto"/>
            <w:vAlign w:val="center"/>
          </w:tcPr>
          <w:p>
            <w:pPr>
              <w:spacing w:line="400" w:lineRule="exac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亩均工业增加值：已建成城镇建设用地范围内的工业（物流）企业生产过程中新创造的价值与工矿仓储用地面积之比，反映开发区工业（物流）企业生产过程中新创造的价值。</w:t>
            </w:r>
          </w:p>
        </w:tc>
        <w:tc>
          <w:tcPr>
            <w:tcW w:w="1194" w:type="pct"/>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1.</w:t>
            </w:r>
            <w:r>
              <w:rPr>
                <w:rFonts w:hint="eastAsia" w:ascii="Times New Roman" w:hAnsi="Times New Roman" w:eastAsia="仿宋_GB2312" w:cs="Times New Roman"/>
                <w:color w:val="auto"/>
                <w:sz w:val="24"/>
                <w:szCs w:val="28"/>
              </w:rPr>
              <w:t>工业增加值（</w:t>
            </w:r>
            <w:r>
              <w:rPr>
                <w:rFonts w:hint="eastAsia" w:ascii="Times New Roman" w:hAnsi="Times New Roman" w:eastAsia="仿宋_GB2312" w:cs="Times New Roman"/>
                <w:color w:val="auto"/>
                <w:sz w:val="24"/>
                <w:szCs w:val="28"/>
                <w:highlight w:val="none"/>
                <w:lang w:eastAsia="zh-CN"/>
              </w:rPr>
              <w:t>各县、区人民政府</w:t>
            </w:r>
            <w:r>
              <w:rPr>
                <w:rFonts w:hint="eastAsia" w:ascii="Times New Roman" w:hAnsi="Times New Roman" w:eastAsia="仿宋_GB2312" w:cs="Times New Roman"/>
                <w:color w:val="auto"/>
                <w:sz w:val="24"/>
                <w:szCs w:val="28"/>
              </w:rPr>
              <w:t>）；</w:t>
            </w:r>
          </w:p>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2.工矿仓储用地面积（市自然资源和规划局）。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95" w:type="pct"/>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3</w:t>
            </w:r>
          </w:p>
        </w:tc>
        <w:tc>
          <w:tcPr>
            <w:tcW w:w="785"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闲置土地发生率（单位：</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w:t>
            </w:r>
          </w:p>
        </w:tc>
        <w:tc>
          <w:tcPr>
            <w:tcW w:w="954"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闲置土地发生率得分</w:t>
            </w:r>
            <w:r>
              <w:rPr>
                <w:rStyle w:val="25"/>
                <w:rFonts w:eastAsia="仿宋_GB2312"/>
                <w:color w:val="auto"/>
                <w:sz w:val="24"/>
                <w:szCs w:val="28"/>
              </w:rPr>
              <w:t>=</w:t>
            </w:r>
            <w:r>
              <w:rPr>
                <w:rStyle w:val="27"/>
                <w:rFonts w:hint="default" w:ascii="Times New Roman" w:hAnsi="Times New Roman" w:eastAsia="仿宋_GB2312" w:cs="Times New Roman"/>
                <w:color w:val="auto"/>
                <w:sz w:val="24"/>
                <w:szCs w:val="28"/>
              </w:rPr>
              <w:t>（闲置土地面积÷2009年以来供应的土地面积）</w:t>
            </w:r>
            <w:r>
              <w:rPr>
                <w:rStyle w:val="25"/>
                <w:rFonts w:eastAsia="仿宋_GB2312"/>
                <w:color w:val="auto"/>
                <w:sz w:val="24"/>
                <w:szCs w:val="28"/>
              </w:rPr>
              <w:t>÷</w:t>
            </w:r>
            <w:r>
              <w:rPr>
                <w:rStyle w:val="27"/>
                <w:rFonts w:hint="default" w:ascii="Times New Roman" w:hAnsi="Times New Roman" w:eastAsia="仿宋_GB2312" w:cs="Times New Roman"/>
                <w:color w:val="auto"/>
                <w:sz w:val="24"/>
                <w:szCs w:val="28"/>
              </w:rPr>
              <w:t>基准值</w:t>
            </w:r>
            <w:r>
              <w:rPr>
                <w:rStyle w:val="25"/>
                <w:rFonts w:eastAsia="仿宋_GB2312"/>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672" w:type="pct"/>
            <w:shd w:val="clear" w:color="auto" w:fill="auto"/>
            <w:vAlign w:val="center"/>
          </w:tcPr>
          <w:p>
            <w:pPr>
              <w:spacing w:line="400" w:lineRule="exact"/>
              <w:textAlignment w:val="center"/>
              <w:rPr>
                <w:rFonts w:ascii="Times New Roman" w:hAnsi="Times New Roman" w:eastAsia="仿宋_GB2312" w:cs="Times New Roman"/>
                <w:color w:val="auto"/>
                <w:sz w:val="24"/>
                <w:szCs w:val="24"/>
              </w:rPr>
            </w:pPr>
            <w:r>
              <w:rPr>
                <w:rFonts w:hint="eastAsia" w:ascii="仿宋_GB2312" w:hAnsi="方正仿宋_GBK" w:eastAsia="仿宋_GB2312" w:cs="方正仿宋_GBK"/>
                <w:color w:val="auto"/>
                <w:sz w:val="24"/>
                <w:szCs w:val="24"/>
              </w:rPr>
              <w:t>闲置土地发生率：闲置土地面积与</w:t>
            </w:r>
            <w:r>
              <w:rPr>
                <w:rFonts w:ascii="仿宋_GB2312" w:hAnsi="方正仿宋_GBK" w:eastAsia="仿宋_GB2312" w:cs="方正仿宋_GBK"/>
                <w:color w:val="auto"/>
                <w:sz w:val="24"/>
                <w:szCs w:val="24"/>
              </w:rPr>
              <w:t>2009年以来区域内供应的土地面积之比，反映开发区土地闲置情况。</w:t>
            </w:r>
          </w:p>
        </w:tc>
        <w:tc>
          <w:tcPr>
            <w:tcW w:w="1194" w:type="pct"/>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闲置土地面积、2009年以来供应土地面积（市自然资源和规划局）。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395" w:type="pct"/>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4</w:t>
            </w:r>
          </w:p>
        </w:tc>
        <w:tc>
          <w:tcPr>
            <w:tcW w:w="785"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工业用地地均税收（单位：万元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亩）</w:t>
            </w:r>
          </w:p>
        </w:tc>
        <w:tc>
          <w:tcPr>
            <w:tcW w:w="954"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工业用地地均税收得分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（工业（物流）企业税收总额</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工矿仓储用地面积）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672" w:type="pct"/>
            <w:shd w:val="clear" w:color="auto" w:fill="auto"/>
            <w:vAlign w:val="center"/>
          </w:tcPr>
          <w:p>
            <w:pPr>
              <w:spacing w:line="400" w:lineRule="exac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工业用地地均税收：已建成城镇建设用地范围内的工业（物流）企业应缴税款与工矿仓储用地面积之比，反映开发区工矿仓储用地的产出效益。</w:t>
            </w:r>
          </w:p>
        </w:tc>
        <w:tc>
          <w:tcPr>
            <w:tcW w:w="1194" w:type="pct"/>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1.工矿仓储用地面积（市自然资源和规划局）；</w:t>
            </w:r>
          </w:p>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2.工业（物流）企业应缴税款总额（</w:t>
            </w:r>
            <w:r>
              <w:rPr>
                <w:rFonts w:hint="eastAsia" w:ascii="Times New Roman" w:hAnsi="Times New Roman" w:eastAsia="仿宋_GB2312" w:cs="Times New Roman"/>
                <w:color w:val="auto"/>
                <w:sz w:val="24"/>
                <w:szCs w:val="28"/>
                <w:highlight w:val="none"/>
                <w:lang w:eastAsia="zh-CN"/>
              </w:rPr>
              <w:t>各县、区人民政府</w:t>
            </w:r>
            <w:r>
              <w:rPr>
                <w:rFonts w:hint="eastAsia" w:ascii="Times New Roman" w:hAnsi="Times New Roman" w:eastAsia="仿宋_GB2312" w:cs="Times New Roman"/>
                <w:color w:val="auto"/>
                <w:sz w:val="24"/>
                <w:szCs w:val="28"/>
              </w:rPr>
              <w:t>、柳州市税务局）。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395" w:type="pct"/>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5</w:t>
            </w:r>
          </w:p>
        </w:tc>
        <w:tc>
          <w:tcPr>
            <w:tcW w:w="785"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综合地均税收（单位：万元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亩）</w:t>
            </w:r>
          </w:p>
        </w:tc>
        <w:tc>
          <w:tcPr>
            <w:tcW w:w="954"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综合地均税收得分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（二、三产业应缴税收总额</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已建成城镇建设用地面积）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672" w:type="pct"/>
            <w:shd w:val="clear" w:color="auto" w:fill="auto"/>
            <w:vAlign w:val="center"/>
          </w:tcPr>
          <w:p>
            <w:pPr>
              <w:spacing w:line="400" w:lineRule="exac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综合地均税收：已建成城镇建设用地范围内的二、三产业应缴税款总数与已建成城镇建设用地面积之比，反映开发区已建成城镇建设用地的产出效益。</w:t>
            </w:r>
          </w:p>
        </w:tc>
        <w:tc>
          <w:tcPr>
            <w:tcW w:w="1194" w:type="pct"/>
            <w:shd w:val="clear" w:color="auto" w:fill="auto"/>
            <w:vAlign w:val="center"/>
          </w:tcPr>
          <w:p>
            <w:pPr>
              <w:pStyle w:val="2"/>
              <w:ind w:firstLine="0" w:firstLineChars="0"/>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1.</w:t>
            </w:r>
            <w:r>
              <w:rPr>
                <w:rFonts w:hint="eastAsia" w:ascii="Times New Roman" w:hAnsi="Times New Roman" w:eastAsia="仿宋_GB2312" w:cs="Times New Roman"/>
                <w:color w:val="auto"/>
                <w:sz w:val="24"/>
                <w:szCs w:val="28"/>
              </w:rPr>
              <w:t>已建成城镇建设用地面积（市自然资源和规划局）；</w:t>
            </w:r>
          </w:p>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2.二、三产业应缴税款总额（</w:t>
            </w:r>
            <w:r>
              <w:rPr>
                <w:rFonts w:hint="eastAsia" w:ascii="Times New Roman" w:hAnsi="Times New Roman" w:eastAsia="仿宋_GB2312" w:cs="Times New Roman"/>
                <w:color w:val="auto"/>
                <w:sz w:val="24"/>
                <w:szCs w:val="28"/>
                <w:highlight w:val="none"/>
                <w:lang w:eastAsia="zh-CN"/>
              </w:rPr>
              <w:t>各县、区人民政府</w:t>
            </w:r>
            <w:r>
              <w:rPr>
                <w:rFonts w:hint="eastAsia" w:ascii="Times New Roman" w:hAnsi="Times New Roman" w:eastAsia="仿宋_GB2312" w:cs="Times New Roman"/>
                <w:color w:val="auto"/>
                <w:sz w:val="24"/>
                <w:szCs w:val="28"/>
              </w:rPr>
              <w:t>、柳州市税务局）。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395" w:type="pct"/>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6</w:t>
            </w:r>
          </w:p>
        </w:tc>
        <w:tc>
          <w:tcPr>
            <w:tcW w:w="785"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综合容积率</w:t>
            </w:r>
          </w:p>
        </w:tc>
        <w:tc>
          <w:tcPr>
            <w:tcW w:w="954"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综合容积率得分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（计容总建筑面积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已建成城镇建设用地面积）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672" w:type="pct"/>
            <w:shd w:val="clear" w:color="auto" w:fill="auto"/>
            <w:vAlign w:val="center"/>
          </w:tcPr>
          <w:p>
            <w:pPr>
              <w:spacing w:line="400" w:lineRule="exac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综合容积率：已建成城镇建设用地上的计容总建筑面积与已建成城镇建设用地面积的比值，无量纲。反映开发区已建成城镇建设用地的综合利用强度。</w:t>
            </w:r>
          </w:p>
        </w:tc>
        <w:tc>
          <w:tcPr>
            <w:tcW w:w="1194" w:type="pct"/>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计容总建筑面积、已建成城镇建设用地面积（市自然资源和规划局）。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395" w:type="pct"/>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7</w:t>
            </w:r>
          </w:p>
        </w:tc>
        <w:tc>
          <w:tcPr>
            <w:tcW w:w="785"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工业用地固定资产投入强度（单位：万元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亩）</w:t>
            </w:r>
          </w:p>
        </w:tc>
        <w:tc>
          <w:tcPr>
            <w:tcW w:w="954" w:type="pct"/>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工业用地固定资产投入强度得分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（固定资产投资总额</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已建成工矿仓储用地面积）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672" w:type="pct"/>
            <w:shd w:val="clear" w:color="auto" w:fill="auto"/>
            <w:vAlign w:val="center"/>
          </w:tcPr>
          <w:p>
            <w:pPr>
              <w:spacing w:line="400" w:lineRule="exac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工业用地固定资产投入强度：已建成城镇建设用地范围内的工业（物流）企业累计固定资产投资总额与工矿仓储用地面积之比，反映开发区工矿仓储用地的投入强度。</w:t>
            </w:r>
          </w:p>
        </w:tc>
        <w:tc>
          <w:tcPr>
            <w:tcW w:w="1194" w:type="pct"/>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1.</w:t>
            </w:r>
            <w:r>
              <w:rPr>
                <w:rFonts w:hint="eastAsia" w:ascii="Times New Roman" w:hAnsi="Times New Roman" w:eastAsia="仿宋_GB2312" w:cs="Times New Roman"/>
                <w:color w:val="auto"/>
                <w:sz w:val="24"/>
                <w:szCs w:val="28"/>
              </w:rPr>
              <w:t>累计固定资产投资总额（</w:t>
            </w:r>
            <w:r>
              <w:rPr>
                <w:rFonts w:hint="eastAsia" w:ascii="Times New Roman" w:hAnsi="Times New Roman" w:eastAsia="仿宋_GB2312" w:cs="Times New Roman"/>
                <w:color w:val="auto"/>
                <w:sz w:val="24"/>
                <w:szCs w:val="28"/>
                <w:highlight w:val="none"/>
                <w:lang w:eastAsia="zh-CN"/>
              </w:rPr>
              <w:t>各县、区人民政府</w:t>
            </w:r>
            <w:r>
              <w:rPr>
                <w:rFonts w:hint="eastAsia" w:ascii="Times New Roman" w:hAnsi="Times New Roman" w:eastAsia="仿宋_GB2312" w:cs="Times New Roman"/>
                <w:color w:val="auto"/>
                <w:sz w:val="24"/>
                <w:szCs w:val="28"/>
              </w:rPr>
              <w:t>）；</w:t>
            </w:r>
          </w:p>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2.工矿仓储用地面积（市自然资源和规划局）。</w:t>
            </w:r>
          </w:p>
        </w:tc>
      </w:tr>
    </w:tbl>
    <w:p>
      <w:pPr>
        <w:pStyle w:val="3"/>
        <w:ind w:firstLine="640"/>
        <w:rPr>
          <w:rFonts w:ascii="Times New Roman" w:hAnsi="Times New Roman" w:eastAsia="仿宋_GB2312" w:cs="Times New Roman"/>
          <w:color w:val="auto"/>
          <w:sz w:val="32"/>
          <w:szCs w:val="32"/>
        </w:rPr>
        <w:sectPr>
          <w:pgSz w:w="11850" w:h="16783"/>
          <w:pgMar w:top="1440" w:right="1800" w:bottom="1440" w:left="1800" w:header="851" w:footer="992" w:gutter="0"/>
          <w:cols w:space="425" w:num="1"/>
          <w:docGrid w:type="lines" w:linePitch="312" w:charSpace="0"/>
        </w:sectPr>
      </w:pPr>
    </w:p>
    <w:p>
      <w:pPr>
        <w:pStyle w:val="3"/>
        <w:spacing w:after="0" w:line="560" w:lineRule="exact"/>
        <w:ind w:firstLine="0" w:firstLineChars="0"/>
        <w:outlineLvl w:val="0"/>
        <w:rPr>
          <w:rFonts w:ascii="Times New Roman" w:hAnsi="Times New Roman" w:eastAsia="仿宋_GB2312" w:cs="Times New Roman"/>
          <w:color w:val="auto"/>
          <w:sz w:val="32"/>
          <w:shd w:val="clear" w:color="auto" w:fill="FFFFFF"/>
        </w:rPr>
      </w:pPr>
      <w:r>
        <w:rPr>
          <w:rFonts w:hint="eastAsia" w:ascii="Times New Roman" w:hAnsi="Times New Roman" w:eastAsia="仿宋_GB2312" w:cs="Times New Roman"/>
          <w:color w:val="auto"/>
          <w:sz w:val="32"/>
          <w:shd w:val="clear" w:color="auto" w:fill="FFFFFF"/>
        </w:rPr>
        <w:t>附件</w:t>
      </w:r>
      <w:r>
        <w:rPr>
          <w:rFonts w:ascii="Times New Roman" w:hAnsi="Times New Roman" w:eastAsia="仿宋_GB2312" w:cs="Times New Roman"/>
          <w:color w:val="auto"/>
          <w:sz w:val="32"/>
          <w:shd w:val="clear" w:color="auto" w:fill="FFFFFF"/>
        </w:rPr>
        <w:t>5</w:t>
      </w:r>
    </w:p>
    <w:p>
      <w:pPr>
        <w:pStyle w:val="3"/>
        <w:spacing w:after="0" w:line="240" w:lineRule="auto"/>
        <w:ind w:firstLine="0" w:firstLineChars="0"/>
        <w:jc w:val="center"/>
        <w:outlineLvl w:val="0"/>
        <w:rPr>
          <w:rFonts w:ascii="华文中宋" w:hAnsi="华文中宋" w:eastAsia="华文中宋" w:cs="华文中宋"/>
          <w:bCs/>
          <w:color w:val="auto"/>
          <w:sz w:val="32"/>
          <w:szCs w:val="32"/>
          <w:shd w:val="clear" w:color="auto" w:fill="FFFFFF"/>
        </w:rPr>
      </w:pPr>
      <w:r>
        <w:rPr>
          <w:rFonts w:hint="eastAsia" w:ascii="华文中宋" w:hAnsi="华文中宋" w:eastAsia="华文中宋" w:cs="华文中宋"/>
          <w:bCs/>
          <w:color w:val="auto"/>
          <w:sz w:val="32"/>
          <w:szCs w:val="32"/>
          <w:shd w:val="clear" w:color="auto" w:fill="FFFFFF"/>
        </w:rPr>
        <w:t>企业</w:t>
      </w:r>
      <w:r>
        <w:rPr>
          <w:rFonts w:hint="eastAsia" w:ascii="华文中宋" w:hAnsi="华文中宋" w:eastAsia="华文中宋" w:cs="华文中宋"/>
          <w:color w:val="auto"/>
          <w:sz w:val="32"/>
          <w:shd w:val="clear" w:color="auto" w:fill="FFFFFF"/>
        </w:rPr>
        <w:t>“亩均效益”</w:t>
      </w:r>
      <w:r>
        <w:rPr>
          <w:rFonts w:hint="eastAsia" w:ascii="华文中宋" w:hAnsi="华文中宋" w:eastAsia="华文中宋" w:cs="华文中宋"/>
          <w:bCs/>
          <w:color w:val="auto"/>
          <w:sz w:val="32"/>
          <w:szCs w:val="32"/>
          <w:shd w:val="clear" w:color="auto" w:fill="FFFFFF"/>
        </w:rPr>
        <w:t>评价指标核算规则</w:t>
      </w:r>
    </w:p>
    <w:tbl>
      <w:tblPr>
        <w:tblStyle w:val="11"/>
        <w:tblW w:w="5255" w:type="pct"/>
        <w:tblInd w:w="0" w:type="dxa"/>
        <w:tblLayout w:type="fixed"/>
        <w:tblCellMar>
          <w:top w:w="0" w:type="dxa"/>
          <w:left w:w="108" w:type="dxa"/>
          <w:bottom w:w="0" w:type="dxa"/>
          <w:right w:w="108" w:type="dxa"/>
        </w:tblCellMar>
      </w:tblPr>
      <w:tblGrid>
        <w:gridCol w:w="822"/>
        <w:gridCol w:w="1418"/>
        <w:gridCol w:w="1700"/>
        <w:gridCol w:w="2406"/>
        <w:gridCol w:w="2552"/>
      </w:tblGrid>
      <w:tr>
        <w:tblPrEx>
          <w:tblCellMar>
            <w:top w:w="0" w:type="dxa"/>
            <w:left w:w="108" w:type="dxa"/>
            <w:bottom w:w="0" w:type="dxa"/>
            <w:right w:w="108" w:type="dxa"/>
          </w:tblCellMar>
        </w:tblPrEx>
        <w:trPr>
          <w:trHeight w:val="2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序号</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指标名称</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评分方法</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指标说明</w:t>
            </w:r>
          </w:p>
        </w:tc>
        <w:tc>
          <w:tcPr>
            <w:tcW w:w="143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指标来源和</w:t>
            </w:r>
          </w:p>
          <w:p>
            <w:pPr>
              <w:spacing w:line="400" w:lineRule="exact"/>
              <w:jc w:val="center"/>
              <w:textAlignment w:val="center"/>
              <w:rPr>
                <w:rFonts w:ascii="Times New Roman" w:hAnsi="Times New Roman" w:eastAsia="仿宋_GB2312" w:cs="Times New Roman"/>
                <w:b/>
                <w:bCs/>
                <w:color w:val="auto"/>
                <w:sz w:val="24"/>
                <w:szCs w:val="28"/>
              </w:rPr>
            </w:pPr>
            <w:r>
              <w:rPr>
                <w:rFonts w:hint="eastAsia" w:ascii="Times New Roman" w:hAnsi="Times New Roman" w:eastAsia="仿宋_GB2312" w:cs="Times New Roman"/>
                <w:b/>
                <w:bCs/>
                <w:color w:val="auto"/>
                <w:sz w:val="24"/>
                <w:szCs w:val="28"/>
              </w:rPr>
              <w:t>审核认定部门</w:t>
            </w:r>
          </w:p>
        </w:tc>
      </w:tr>
      <w:tr>
        <w:tblPrEx>
          <w:tblCellMar>
            <w:top w:w="0" w:type="dxa"/>
            <w:left w:w="108" w:type="dxa"/>
            <w:bottom w:w="0" w:type="dxa"/>
            <w:right w:w="108" w:type="dxa"/>
          </w:tblCellMar>
        </w:tblPrEx>
        <w:trPr>
          <w:trHeight w:val="2952" w:hRule="atLeast"/>
        </w:trPr>
        <w:tc>
          <w:tcPr>
            <w:tcW w:w="462" w:type="pct"/>
            <w:tcBorders>
              <w:top w:val="single" w:color="000000" w:sz="4" w:space="0"/>
              <w:left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1</w:t>
            </w:r>
          </w:p>
        </w:tc>
        <w:tc>
          <w:tcPr>
            <w:tcW w:w="797" w:type="pct"/>
            <w:tcBorders>
              <w:top w:val="single" w:color="000000" w:sz="4" w:space="0"/>
              <w:left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亩均税收</w:t>
            </w:r>
          </w:p>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亩）</w:t>
            </w:r>
          </w:p>
        </w:tc>
        <w:tc>
          <w:tcPr>
            <w:tcW w:w="955" w:type="pct"/>
            <w:tcBorders>
              <w:top w:val="single" w:color="000000" w:sz="4" w:space="0"/>
              <w:left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亩均税收得分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（应缴税款</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352" w:type="pct"/>
            <w:tcBorders>
              <w:top w:val="single" w:color="000000" w:sz="4" w:space="0"/>
              <w:left w:val="single" w:color="000000" w:sz="4" w:space="0"/>
              <w:right w:val="single" w:color="000000" w:sz="4" w:space="0"/>
            </w:tcBorders>
            <w:shd w:val="clear" w:color="auto" w:fill="auto"/>
            <w:vAlign w:val="center"/>
          </w:tcPr>
          <w:p>
            <w:pPr>
              <w:spacing w:line="400" w:lineRule="exact"/>
              <w:jc w:val="left"/>
              <w:textAlignment w:val="top"/>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24"/>
                <w:szCs w:val="28"/>
              </w:rPr>
              <w:t>亩均税收：企业应缴税款与用地面积之比，反映企业单位用地的生产活动税收贡献情况。</w:t>
            </w:r>
          </w:p>
        </w:tc>
        <w:tc>
          <w:tcPr>
            <w:tcW w:w="1434" w:type="pct"/>
            <w:tcBorders>
              <w:top w:val="single" w:color="000000" w:sz="4" w:space="0"/>
              <w:left w:val="single" w:color="000000" w:sz="4" w:space="0"/>
              <w:right w:val="single" w:color="000000" w:sz="4" w:space="0"/>
            </w:tcBorders>
            <w:vAlign w:val="center"/>
          </w:tcPr>
          <w:p>
            <w:pPr>
              <w:spacing w:line="400" w:lineRule="exact"/>
              <w:jc w:val="left"/>
              <w:textAlignment w:val="top"/>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1.企业应缴税款总额（柳州市税务局）；</w:t>
            </w:r>
          </w:p>
          <w:p>
            <w:pPr>
              <w:spacing w:line="400" w:lineRule="exact"/>
              <w:jc w:val="left"/>
              <w:textAlignment w:val="top"/>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2.用地数据（供地数据由市自然资源和规划局提供；租赁用地及事实合法用地数据由</w:t>
            </w:r>
            <w:r>
              <w:rPr>
                <w:rFonts w:hint="eastAsia" w:ascii="Times New Roman" w:hAnsi="Times New Roman" w:eastAsia="仿宋_GB2312" w:cs="Times New Roman"/>
                <w:color w:val="auto"/>
                <w:sz w:val="24"/>
                <w:szCs w:val="28"/>
                <w:highlight w:val="none"/>
                <w:lang w:eastAsia="zh-CN"/>
              </w:rPr>
              <w:t>各县、区人民政府</w:t>
            </w:r>
            <w:r>
              <w:rPr>
                <w:rFonts w:hint="eastAsia" w:ascii="Times New Roman" w:hAnsi="Times New Roman" w:eastAsia="仿宋_GB2312" w:cs="Times New Roman"/>
                <w:color w:val="auto"/>
                <w:sz w:val="24"/>
                <w:szCs w:val="28"/>
              </w:rPr>
              <w:t>提供）。</w:t>
            </w:r>
          </w:p>
        </w:tc>
      </w:tr>
      <w:tr>
        <w:tblPrEx>
          <w:tblCellMar>
            <w:top w:w="0" w:type="dxa"/>
            <w:left w:w="108" w:type="dxa"/>
            <w:bottom w:w="0" w:type="dxa"/>
            <w:right w:w="108" w:type="dxa"/>
          </w:tblCellMar>
        </w:tblPrEx>
        <w:trPr>
          <w:trHeight w:val="2555"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亩均产值</w:t>
            </w:r>
          </w:p>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（单位：万元</w:t>
            </w:r>
            <w:r>
              <w:rPr>
                <w:rFonts w:ascii="Times New Roman" w:hAnsi="Times New Roman" w:eastAsia="仿宋_GB2312" w:cs="Times New Roman"/>
                <w:color w:val="auto"/>
                <w:kern w:val="0"/>
                <w:sz w:val="24"/>
                <w:szCs w:val="28"/>
              </w:rPr>
              <w:t>/</w:t>
            </w:r>
            <w:r>
              <w:rPr>
                <w:rFonts w:hint="eastAsia" w:ascii="Times New Roman" w:hAnsi="Times New Roman" w:eastAsia="仿宋_GB2312" w:cs="Times New Roman"/>
                <w:color w:val="auto"/>
                <w:sz w:val="24"/>
                <w:szCs w:val="28"/>
              </w:rPr>
              <w:t>亩）</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亩均产值得分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（工业总产值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亩均产值：工业总产值与用地面积之比，反映企业在单位用地下生产的已出售或可供出售工业产品总量。</w:t>
            </w:r>
          </w:p>
        </w:tc>
        <w:tc>
          <w:tcPr>
            <w:tcW w:w="143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1.工业总产值（市统计局）；</w:t>
            </w:r>
          </w:p>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2.用地数据（市自然资源和规划局）。</w:t>
            </w:r>
          </w:p>
        </w:tc>
      </w:tr>
      <w:tr>
        <w:tblPrEx>
          <w:tblCellMar>
            <w:top w:w="0" w:type="dxa"/>
            <w:left w:w="108" w:type="dxa"/>
            <w:bottom w:w="0" w:type="dxa"/>
            <w:right w:w="108" w:type="dxa"/>
          </w:tblCellMar>
        </w:tblPrEx>
        <w:trPr>
          <w:trHeight w:val="3102"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亩均工业增加值（单位：万元/亩）</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亩均工业增加值得分=（工业增加值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亩均工业增加值：工业增加值与用地面积之比，反映工业企业降低中间消耗的经济效益，也是工业企业盈利能力和发展水平的综合体现。</w:t>
            </w:r>
          </w:p>
        </w:tc>
        <w:tc>
          <w:tcPr>
            <w:tcW w:w="143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1.工业增加值（市统计局）；</w:t>
            </w:r>
          </w:p>
          <w:p>
            <w:pPr>
              <w:pStyle w:val="2"/>
              <w:ind w:firstLine="0" w:firstLineChars="0"/>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2.用地数据（市自然资源和规划局）。</w:t>
            </w:r>
          </w:p>
        </w:tc>
      </w:tr>
      <w:tr>
        <w:tblPrEx>
          <w:tblCellMar>
            <w:top w:w="0" w:type="dxa"/>
            <w:left w:w="108" w:type="dxa"/>
            <w:bottom w:w="0" w:type="dxa"/>
            <w:right w:w="108" w:type="dxa"/>
          </w:tblCellMar>
        </w:tblPrEx>
        <w:trPr>
          <w:trHeight w:val="1833"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单位能耗产值（单位：万元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吨标准煤）</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单位能耗产值得分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（工业总产值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综合能源消费量）</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35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单位能耗产值：工业总产值与能源消费总量（等价值）之比，反映企业单位能耗下生产的已出售或可供出售工业产品总量。</w:t>
            </w:r>
          </w:p>
        </w:tc>
        <w:tc>
          <w:tcPr>
            <w:tcW w:w="1434" w:type="pct"/>
            <w:tcBorders>
              <w:top w:val="single" w:color="000000" w:sz="4" w:space="0"/>
              <w:left w:val="single" w:color="000000" w:sz="4" w:space="0"/>
              <w:bottom w:val="single" w:color="auto" w:sz="4" w:space="0"/>
              <w:right w:val="single" w:color="000000" w:sz="4" w:space="0"/>
            </w:tcBorders>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工业总产值、综合能源消费总量（市统计局）。</w:t>
            </w:r>
          </w:p>
        </w:tc>
      </w:tr>
      <w:tr>
        <w:tblPrEx>
          <w:tblCellMar>
            <w:top w:w="0" w:type="dxa"/>
            <w:left w:w="108" w:type="dxa"/>
            <w:bottom w:w="0" w:type="dxa"/>
            <w:right w:w="108" w:type="dxa"/>
          </w:tblCellMar>
        </w:tblPrEx>
        <w:trPr>
          <w:trHeight w:val="3818" w:hRule="atLeast"/>
        </w:trPr>
        <w:tc>
          <w:tcPr>
            <w:tcW w:w="462" w:type="pct"/>
            <w:tcBorders>
              <w:top w:val="single" w:color="000000" w:sz="4" w:space="0"/>
              <w:left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5</w:t>
            </w:r>
          </w:p>
        </w:tc>
        <w:tc>
          <w:tcPr>
            <w:tcW w:w="797" w:type="pct"/>
            <w:tcBorders>
              <w:top w:val="single" w:color="000000" w:sz="4" w:space="0"/>
              <w:left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单位主要污染物排放当量增加值（单位：万元</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污染当量）</w:t>
            </w:r>
          </w:p>
        </w:tc>
        <w:tc>
          <w:tcPr>
            <w:tcW w:w="955" w:type="pct"/>
            <w:tcBorders>
              <w:top w:val="single" w:color="000000" w:sz="4" w:space="0"/>
              <w:left w:val="single" w:color="000000" w:sz="4" w:space="0"/>
              <w:right w:val="single" w:color="000000" w:sz="4" w:space="0"/>
            </w:tcBorders>
            <w:shd w:val="clear" w:color="auto" w:fill="auto"/>
            <w:vAlign w:val="center"/>
          </w:tcPr>
          <w:p>
            <w:pPr>
              <w:spacing w:line="400" w:lineRule="exact"/>
              <w:jc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单位主要污染物排放当量增加值得分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（工业增加值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主要污染物排放总当量）</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352" w:type="pct"/>
            <w:tcBorders>
              <w:top w:val="single" w:color="000000" w:sz="4" w:space="0"/>
              <w:left w:val="single" w:color="000000" w:sz="4" w:space="0"/>
              <w:right w:val="single" w:color="auto"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单位主要污染物排放当量增加值：工业增加值与四项主要污染物排放总当量之比，反映企业单位污染物排放下所创造的工业生产活动成果。</w:t>
            </w:r>
          </w:p>
        </w:tc>
        <w:tc>
          <w:tcPr>
            <w:tcW w:w="1434" w:type="pct"/>
            <w:tcBorders>
              <w:top w:val="single" w:color="auto" w:sz="4" w:space="0"/>
              <w:left w:val="single" w:color="auto" w:sz="4" w:space="0"/>
              <w:right w:val="single" w:color="auto" w:sz="4" w:space="0"/>
            </w:tcBorders>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1.工业增加值（市统计局）；</w:t>
            </w:r>
          </w:p>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2.主要污染物排放总当量（市生态环境局）。</w:t>
            </w:r>
          </w:p>
        </w:tc>
      </w:tr>
      <w:tr>
        <w:tblPrEx>
          <w:tblCellMar>
            <w:top w:w="0" w:type="dxa"/>
            <w:left w:w="108" w:type="dxa"/>
            <w:bottom w:w="0" w:type="dxa"/>
            <w:right w:w="108" w:type="dxa"/>
          </w:tblCellMar>
        </w:tblPrEx>
        <w:trPr>
          <w:trHeight w:val="2539"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就业贡献度（单位：人）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就业贡献度得分=年末参保人数</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Style w:val="26"/>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352"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就业贡献度：年末参评企业参保人数，反映企业提供就业岗位促进就业情况。</w:t>
            </w:r>
          </w:p>
        </w:tc>
        <w:tc>
          <w:tcPr>
            <w:tcW w:w="1434" w:type="pct"/>
            <w:tcBorders>
              <w:top w:val="single" w:color="000000" w:sz="4" w:space="0"/>
              <w:left w:val="single" w:color="000000" w:sz="4" w:space="0"/>
              <w:bottom w:val="single" w:color="auto" w:sz="4" w:space="0"/>
              <w:right w:val="single" w:color="000000" w:sz="4" w:space="0"/>
            </w:tcBorders>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年末企业参保人数（</w:t>
            </w:r>
            <w:r>
              <w:rPr>
                <w:rFonts w:hint="eastAsia" w:ascii="Times New Roman" w:hAnsi="Times New Roman" w:eastAsia="仿宋_GB2312" w:cs="Times New Roman"/>
                <w:color w:val="auto"/>
                <w:sz w:val="24"/>
                <w:szCs w:val="28"/>
                <w:lang w:val="zh-CN"/>
              </w:rPr>
              <w:t>市人力资源和社会保障局</w:t>
            </w:r>
            <w:r>
              <w:rPr>
                <w:rFonts w:hint="eastAsia" w:ascii="Times New Roman" w:hAnsi="Times New Roman" w:eastAsia="仿宋_GB2312" w:cs="Times New Roman"/>
                <w:color w:val="auto"/>
                <w:sz w:val="24"/>
                <w:szCs w:val="28"/>
              </w:rPr>
              <w:t>）。</w:t>
            </w:r>
          </w:p>
        </w:tc>
      </w:tr>
      <w:tr>
        <w:tblPrEx>
          <w:tblCellMar>
            <w:top w:w="0" w:type="dxa"/>
            <w:left w:w="108" w:type="dxa"/>
            <w:bottom w:w="0" w:type="dxa"/>
            <w:right w:w="108" w:type="dxa"/>
          </w:tblCellMar>
        </w:tblPrEx>
        <w:trPr>
          <w:trHeight w:val="3397"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研发经费投入强度（单位：</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w:t>
            </w:r>
          </w:p>
        </w:tc>
        <w:tc>
          <w:tcPr>
            <w:tcW w:w="955"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研发经费投入强度得分</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（研发经费支出</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营业收入）</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35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研发经费投入强度：企业研发经费支出与营业收入之比，反映企业生产经营活动提高科技创新水平的投入水平。</w:t>
            </w:r>
          </w:p>
        </w:tc>
        <w:tc>
          <w:tcPr>
            <w:tcW w:w="1434" w:type="pct"/>
            <w:tcBorders>
              <w:top w:val="single" w:color="auto" w:sz="4" w:space="0"/>
              <w:left w:val="single" w:color="auto" w:sz="4" w:space="0"/>
              <w:bottom w:val="single" w:color="auto" w:sz="4" w:space="0"/>
              <w:right w:val="single" w:color="auto" w:sz="4" w:space="0"/>
            </w:tcBorders>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研发经费支出、营业收入（市统计局）。</w:t>
            </w:r>
          </w:p>
        </w:tc>
      </w:tr>
      <w:tr>
        <w:tblPrEx>
          <w:tblCellMar>
            <w:top w:w="0" w:type="dxa"/>
            <w:left w:w="108" w:type="dxa"/>
            <w:bottom w:w="0" w:type="dxa"/>
            <w:right w:w="108" w:type="dxa"/>
          </w:tblCellMar>
        </w:tblPrEx>
        <w:trPr>
          <w:trHeight w:val="20"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亩均营业收入（单位：万元/亩）</w:t>
            </w:r>
          </w:p>
        </w:tc>
        <w:tc>
          <w:tcPr>
            <w:tcW w:w="955" w:type="pct"/>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亩均营业收入得分=（营业收入÷用地面积）</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基准值</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权重</w:t>
            </w:r>
            <w:r>
              <w:rPr>
                <w:rStyle w:val="25"/>
                <w:rFonts w:eastAsia="仿宋_GB2312"/>
                <w:color w:val="auto"/>
                <w:sz w:val="24"/>
                <w:szCs w:val="28"/>
              </w:rPr>
              <w:t>×100</w:t>
            </w:r>
          </w:p>
        </w:tc>
        <w:tc>
          <w:tcPr>
            <w:tcW w:w="135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亩均营业收入：企业营业收入与用地面积之比，反映企业生产经营状况。</w:t>
            </w:r>
          </w:p>
        </w:tc>
        <w:tc>
          <w:tcPr>
            <w:tcW w:w="1434" w:type="pct"/>
            <w:tcBorders>
              <w:top w:val="single" w:color="auto" w:sz="4" w:space="0"/>
              <w:left w:val="single" w:color="auto" w:sz="4" w:space="0"/>
              <w:bottom w:val="single" w:color="auto" w:sz="4" w:space="0"/>
              <w:right w:val="single" w:color="auto" w:sz="4" w:space="0"/>
            </w:tcBorders>
            <w:vAlign w:val="center"/>
          </w:tcPr>
          <w:p>
            <w:pPr>
              <w:spacing w:line="400" w:lineRule="exact"/>
              <w:jc w:val="left"/>
              <w:textAlignment w:val="center"/>
              <w:rPr>
                <w:rFonts w:ascii="Times New Roman" w:hAnsi="Times New Roman" w:eastAsia="仿宋_GB2312" w:cs="Times New Roman"/>
                <w:color w:val="auto"/>
                <w:sz w:val="24"/>
                <w:szCs w:val="28"/>
              </w:rPr>
            </w:pPr>
            <w:r>
              <w:rPr>
                <w:rFonts w:hint="eastAsia" w:ascii="Times New Roman" w:hAnsi="Times New Roman" w:eastAsia="仿宋_GB2312" w:cs="Times New Roman"/>
                <w:color w:val="auto"/>
                <w:sz w:val="24"/>
                <w:szCs w:val="28"/>
              </w:rPr>
              <w:t>1</w:t>
            </w:r>
            <w:r>
              <w:rPr>
                <w:rFonts w:ascii="Times New Roman" w:hAnsi="Times New Roman" w:eastAsia="仿宋_GB2312" w:cs="Times New Roman"/>
                <w:color w:val="auto"/>
                <w:sz w:val="24"/>
                <w:szCs w:val="28"/>
              </w:rPr>
              <w:t>.</w:t>
            </w:r>
            <w:r>
              <w:rPr>
                <w:rFonts w:hint="eastAsia" w:ascii="Times New Roman" w:hAnsi="Times New Roman" w:eastAsia="仿宋_GB2312" w:cs="Times New Roman"/>
                <w:color w:val="auto"/>
                <w:sz w:val="24"/>
                <w:szCs w:val="28"/>
              </w:rPr>
              <w:t>营业收入（市统计局）；</w:t>
            </w:r>
          </w:p>
          <w:p>
            <w:pPr>
              <w:pStyle w:val="2"/>
              <w:spacing w:line="400" w:lineRule="exact"/>
              <w:ind w:firstLine="0" w:firstLineChars="0"/>
              <w:textAlignment w:val="center"/>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2.</w:t>
            </w:r>
            <w:r>
              <w:rPr>
                <w:rFonts w:hint="eastAsia" w:ascii="Times New Roman" w:hAnsi="Times New Roman" w:eastAsia="仿宋_GB2312" w:cs="Times New Roman"/>
                <w:color w:val="auto"/>
                <w:sz w:val="24"/>
                <w:szCs w:val="28"/>
              </w:rPr>
              <w:t>用地数据（供地数据由市自然资源和规划局提供；租赁用地及事实合法用地数据由</w:t>
            </w:r>
            <w:r>
              <w:rPr>
                <w:rFonts w:hint="eastAsia" w:ascii="Times New Roman" w:hAnsi="Times New Roman" w:eastAsia="仿宋_GB2312" w:cs="Times New Roman"/>
                <w:color w:val="auto"/>
                <w:sz w:val="24"/>
                <w:szCs w:val="28"/>
                <w:highlight w:val="none"/>
                <w:lang w:eastAsia="zh-CN"/>
              </w:rPr>
              <w:t>各县、区人民政府</w:t>
            </w:r>
            <w:r>
              <w:rPr>
                <w:rFonts w:hint="eastAsia" w:ascii="Times New Roman" w:hAnsi="Times New Roman" w:eastAsia="仿宋_GB2312" w:cs="Times New Roman"/>
                <w:color w:val="auto"/>
                <w:sz w:val="24"/>
                <w:szCs w:val="28"/>
              </w:rPr>
              <w:t>提供）。</w:t>
            </w:r>
          </w:p>
        </w:tc>
      </w:tr>
    </w:tbl>
    <w:p>
      <w:pPr>
        <w:pStyle w:val="19"/>
        <w:shd w:val="clear" w:color="auto" w:fill="FFFFFF"/>
        <w:spacing w:before="0" w:beforeAutospacing="0" w:after="0" w:afterAutospacing="0"/>
        <w:rPr>
          <w:rFonts w:ascii="Times New Roman" w:hAnsi="Times New Roman" w:eastAsia="仿宋_GB2312" w:cs="Times New Roman"/>
          <w:color w:val="auto"/>
          <w:kern w:val="2"/>
          <w:sz w:val="32"/>
          <w:szCs w:val="32"/>
        </w:rPr>
        <w:sectPr>
          <w:pgSz w:w="11850" w:h="16783"/>
          <w:pgMar w:top="1440" w:right="1800" w:bottom="1440" w:left="1800" w:header="851" w:footer="992" w:gutter="0"/>
          <w:cols w:space="425" w:num="1"/>
          <w:docGrid w:type="lines" w:linePitch="312" w:charSpace="0"/>
        </w:sectPr>
      </w:pPr>
    </w:p>
    <w:p>
      <w:pPr>
        <w:pStyle w:val="3"/>
        <w:spacing w:after="0" w:line="560" w:lineRule="exact"/>
        <w:ind w:firstLine="0" w:firstLineChars="0"/>
        <w:outlineLvl w:val="0"/>
        <w:rPr>
          <w:rFonts w:ascii="Times New Roman" w:hAnsi="Times New Roman" w:eastAsia="仿宋_GB2312" w:cs="Times New Roman"/>
          <w:color w:val="auto"/>
          <w:sz w:val="32"/>
          <w:shd w:val="clear" w:color="auto" w:fill="FFFFFF"/>
        </w:rPr>
      </w:pPr>
      <w:r>
        <w:rPr>
          <w:rFonts w:hint="eastAsia" w:ascii="Times New Roman" w:hAnsi="Times New Roman" w:eastAsia="仿宋_GB2312" w:cs="Times New Roman"/>
          <w:color w:val="auto"/>
          <w:sz w:val="32"/>
          <w:shd w:val="clear" w:color="auto" w:fill="FFFFFF"/>
        </w:rPr>
        <w:t>附件</w:t>
      </w:r>
      <w:r>
        <w:rPr>
          <w:rFonts w:ascii="Times New Roman" w:hAnsi="Times New Roman" w:eastAsia="仿宋_GB2312" w:cs="Times New Roman"/>
          <w:color w:val="auto"/>
          <w:sz w:val="32"/>
          <w:shd w:val="clear" w:color="auto" w:fill="FFFFFF"/>
        </w:rPr>
        <w:t>6</w:t>
      </w:r>
    </w:p>
    <w:p>
      <w:pPr>
        <w:pStyle w:val="3"/>
        <w:spacing w:after="0" w:line="500" w:lineRule="exact"/>
        <w:ind w:firstLine="0" w:firstLineChars="0"/>
        <w:jc w:val="center"/>
        <w:outlineLvl w:val="0"/>
        <w:rPr>
          <w:rFonts w:ascii="Times New Roman" w:hAnsi="Times New Roman" w:eastAsia="楷体_GB2312" w:cs="Times New Roman"/>
          <w:color w:val="auto"/>
          <w:sz w:val="32"/>
          <w:szCs w:val="28"/>
        </w:rPr>
      </w:pPr>
      <w:r>
        <w:rPr>
          <w:rFonts w:hint="eastAsia" w:ascii="华文中宋" w:hAnsi="华文中宋" w:eastAsia="华文中宋" w:cs="华文中宋"/>
          <w:color w:val="auto"/>
          <w:sz w:val="32"/>
        </w:rPr>
        <w:t>企业综合评价加分减分项</w:t>
      </w:r>
    </w:p>
    <w:p>
      <w:pPr>
        <w:widowControl/>
        <w:shd w:val="clear" w:color="auto" w:fill="FFFFFF"/>
        <w:spacing w:line="580" w:lineRule="exact"/>
        <w:ind w:firstLine="641"/>
        <w:rPr>
          <w:rFonts w:ascii="Times New Roman" w:hAnsi="Times New Roman" w:eastAsia="仿宋_GB2312" w:cs="Times New Roman"/>
          <w:color w:val="auto"/>
          <w:sz w:val="32"/>
          <w:szCs w:val="28"/>
        </w:rPr>
      </w:pPr>
      <w:r>
        <w:rPr>
          <w:rFonts w:hint="eastAsia" w:ascii="Times New Roman" w:hAnsi="Times New Roman" w:eastAsia="仿宋_GB2312" w:cs="Times New Roman"/>
          <w:color w:val="auto"/>
          <w:kern w:val="0"/>
          <w:sz w:val="32"/>
          <w:szCs w:val="28"/>
        </w:rPr>
        <w:t>同一类别的加分项按照不重复和就高不就低的原则加分，企业获得的各类荣誉（证书）不在有效期范围内的不加分，各类加分项认定时间节点为评价年度的</w:t>
      </w:r>
      <w:r>
        <w:rPr>
          <w:rFonts w:ascii="Times New Roman" w:hAnsi="Times New Roman" w:eastAsia="仿宋_GB2312" w:cs="Times New Roman"/>
          <w:color w:val="auto"/>
          <w:kern w:val="0"/>
          <w:sz w:val="32"/>
          <w:szCs w:val="28"/>
        </w:rPr>
        <w:t>12</w:t>
      </w:r>
      <w:r>
        <w:rPr>
          <w:rFonts w:hint="eastAsia" w:ascii="Times New Roman" w:hAnsi="Times New Roman" w:eastAsia="仿宋_GB2312" w:cs="Times New Roman"/>
          <w:color w:val="auto"/>
          <w:kern w:val="0"/>
          <w:sz w:val="32"/>
          <w:szCs w:val="28"/>
        </w:rPr>
        <w:t>月</w:t>
      </w:r>
      <w:r>
        <w:rPr>
          <w:rFonts w:ascii="Times New Roman" w:hAnsi="Times New Roman" w:eastAsia="仿宋_GB2312" w:cs="Times New Roman"/>
          <w:color w:val="auto"/>
          <w:kern w:val="0"/>
          <w:sz w:val="32"/>
          <w:szCs w:val="28"/>
        </w:rPr>
        <w:t>31</w:t>
      </w:r>
      <w:r>
        <w:rPr>
          <w:rFonts w:hint="eastAsia" w:ascii="Times New Roman" w:hAnsi="Times New Roman" w:eastAsia="仿宋_GB2312" w:cs="Times New Roman"/>
          <w:color w:val="auto"/>
          <w:kern w:val="0"/>
          <w:sz w:val="32"/>
          <w:szCs w:val="28"/>
        </w:rPr>
        <w:t>日。</w:t>
      </w:r>
      <w:r>
        <w:rPr>
          <w:rFonts w:hint="eastAsia" w:ascii="Times New Roman" w:hAnsi="Times New Roman" w:eastAsia="仿宋_GB2312" w:cs="Times New Roman"/>
          <w:color w:val="auto"/>
          <w:sz w:val="32"/>
          <w:szCs w:val="28"/>
        </w:rPr>
        <w:t>加分、减分各自累计不得超过</w:t>
      </w:r>
      <w:r>
        <w:rPr>
          <w:rFonts w:ascii="Times New Roman" w:hAnsi="Times New Roman" w:eastAsia="仿宋_GB2312" w:cs="Times New Roman"/>
          <w:color w:val="auto"/>
          <w:sz w:val="32"/>
          <w:szCs w:val="28"/>
        </w:rPr>
        <w:t>10</w:t>
      </w:r>
      <w:r>
        <w:rPr>
          <w:rFonts w:hint="eastAsia" w:ascii="Times New Roman" w:hAnsi="Times New Roman" w:eastAsia="仿宋_GB2312" w:cs="Times New Roman"/>
          <w:color w:val="auto"/>
          <w:sz w:val="32"/>
          <w:szCs w:val="28"/>
        </w:rPr>
        <w:t>分。</w:t>
      </w:r>
    </w:p>
    <w:p>
      <w:pPr>
        <w:pStyle w:val="2"/>
        <w:ind w:firstLine="562"/>
        <w:jc w:val="center"/>
        <w:rPr>
          <w:rFonts w:ascii="Times New Roman" w:hAnsi="Times New Roman" w:eastAsia="仿宋" w:cs="Times New Roman"/>
          <w:b/>
          <w:color w:val="auto"/>
          <w:sz w:val="28"/>
          <w:szCs w:val="28"/>
        </w:rPr>
      </w:pPr>
      <w:r>
        <w:rPr>
          <w:rFonts w:ascii="Times New Roman" w:hAnsi="仿宋" w:eastAsia="仿宋" w:cs="Times New Roman"/>
          <w:b/>
          <w:color w:val="auto"/>
          <w:sz w:val="28"/>
          <w:szCs w:val="28"/>
        </w:rPr>
        <w:t>表</w:t>
      </w:r>
      <w:r>
        <w:rPr>
          <w:rFonts w:ascii="Times New Roman" w:hAnsi="Times New Roman" w:eastAsia="仿宋" w:cs="Times New Roman"/>
          <w:b/>
          <w:color w:val="auto"/>
          <w:sz w:val="28"/>
          <w:szCs w:val="28"/>
        </w:rPr>
        <w:t xml:space="preserve">1 </w:t>
      </w:r>
      <w:r>
        <w:rPr>
          <w:rFonts w:ascii="Times New Roman" w:hAnsi="仿宋" w:eastAsia="仿宋" w:cs="Times New Roman"/>
          <w:b/>
          <w:color w:val="auto"/>
          <w:sz w:val="28"/>
          <w:szCs w:val="28"/>
        </w:rPr>
        <w:t>加分项</w:t>
      </w:r>
    </w:p>
    <w:tbl>
      <w:tblPr>
        <w:tblStyle w:val="11"/>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679"/>
        <w:gridCol w:w="278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tcPr>
          <w:p>
            <w:pPr>
              <w:widowControl/>
              <w:spacing w:line="44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序号</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加分项</w:t>
            </w:r>
          </w:p>
        </w:tc>
        <w:tc>
          <w:tcPr>
            <w:tcW w:w="2786" w:type="dxa"/>
            <w:vAlign w:val="center"/>
          </w:tcPr>
          <w:p>
            <w:pPr>
              <w:widowControl/>
              <w:spacing w:line="44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加分细则</w:t>
            </w:r>
          </w:p>
        </w:tc>
        <w:tc>
          <w:tcPr>
            <w:tcW w:w="1516" w:type="dxa"/>
            <w:shd w:val="clear" w:color="auto" w:fill="auto"/>
            <w:noWrap/>
            <w:vAlign w:val="center"/>
          </w:tcPr>
          <w:p>
            <w:pPr>
              <w:widowControl/>
              <w:spacing w:line="44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1</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高新技术企业</w:t>
            </w:r>
          </w:p>
        </w:tc>
        <w:tc>
          <w:tcPr>
            <w:tcW w:w="2786" w:type="dxa"/>
            <w:vMerge w:val="restart"/>
            <w:vAlign w:val="center"/>
          </w:tcPr>
          <w:p>
            <w:pPr>
              <w:widowControl/>
              <w:spacing w:line="440" w:lineRule="exact"/>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（1）国家级加</w:t>
            </w:r>
            <w:r>
              <w:rPr>
                <w:rFonts w:ascii="Times New Roman" w:hAnsi="Times New Roman" w:eastAsia="仿宋_GB2312" w:cs="Times New Roman"/>
                <w:color w:val="auto"/>
                <w:kern w:val="0"/>
                <w:sz w:val="24"/>
                <w:szCs w:val="24"/>
              </w:rPr>
              <w:t>3</w:t>
            </w:r>
            <w:r>
              <w:rPr>
                <w:rFonts w:hint="eastAsia" w:ascii="Times New Roman" w:hAnsi="Times New Roman" w:eastAsia="仿宋_GB2312" w:cs="Times New Roman"/>
                <w:color w:val="auto"/>
                <w:kern w:val="0"/>
                <w:sz w:val="24"/>
                <w:szCs w:val="24"/>
              </w:rPr>
              <w:t>分；</w:t>
            </w:r>
          </w:p>
          <w:p>
            <w:pPr>
              <w:widowControl/>
              <w:spacing w:line="440" w:lineRule="exact"/>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（2）自治区级加</w:t>
            </w: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分；</w:t>
            </w:r>
          </w:p>
          <w:p>
            <w:pPr>
              <w:widowControl/>
              <w:spacing w:line="440" w:lineRule="exact"/>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（3）市级加</w:t>
            </w:r>
            <w:r>
              <w:rPr>
                <w:rFonts w:ascii="Times New Roman" w:hAnsi="Times New Roman" w:eastAsia="仿宋_GB2312" w:cs="Times New Roman"/>
                <w:color w:val="auto"/>
                <w:kern w:val="0"/>
                <w:sz w:val="24"/>
                <w:szCs w:val="24"/>
              </w:rPr>
              <w:t>1</w:t>
            </w:r>
            <w:r>
              <w:rPr>
                <w:rFonts w:hint="eastAsia" w:ascii="Times New Roman" w:hAnsi="Times New Roman" w:eastAsia="仿宋_GB2312" w:cs="Times New Roman"/>
                <w:color w:val="auto"/>
                <w:kern w:val="0"/>
                <w:sz w:val="24"/>
                <w:szCs w:val="24"/>
              </w:rPr>
              <w:t>分。</w:t>
            </w: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市科学</w:t>
            </w:r>
          </w:p>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瞪羚企业</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市科学</w:t>
            </w:r>
          </w:p>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3</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智能工厂</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4</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数字化车间</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5</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未来工厂</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6</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专精特新企业</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7</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技术创新示范企业</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8</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研发机构</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9</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技术中心</w:t>
            </w:r>
          </w:p>
        </w:tc>
        <w:tc>
          <w:tcPr>
            <w:tcW w:w="2786" w:type="dxa"/>
            <w:vMerge w:val="continue"/>
            <w:vAlign w:val="center"/>
          </w:tcPr>
          <w:p>
            <w:pPr>
              <w:keepNext/>
              <w:keepLines/>
              <w:widowControl/>
              <w:spacing w:before="340" w:after="330" w:line="440" w:lineRule="exact"/>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10</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设计中心</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11</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广西工业龙头企业</w:t>
            </w:r>
          </w:p>
        </w:tc>
        <w:tc>
          <w:tcPr>
            <w:tcW w:w="2786" w:type="dxa"/>
            <w:vMerge w:val="continue"/>
            <w:vAlign w:val="center"/>
          </w:tcPr>
          <w:p>
            <w:pPr>
              <w:keepNext/>
              <w:keepLines/>
              <w:widowControl/>
              <w:spacing w:before="340" w:after="330" w:line="440" w:lineRule="exact"/>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12</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广西“战略性新兴产业”企业</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sz w:val="24"/>
                <w:szCs w:val="24"/>
              </w:rPr>
              <w:t>13</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千企技改工程</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14</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柳州市做出较大贡献的</w:t>
            </w:r>
          </w:p>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工业企业</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zh-CN"/>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19" w:type="dxa"/>
            <w:vAlign w:val="center"/>
          </w:tcPr>
          <w:p>
            <w:pPr>
              <w:widowControl/>
              <w:spacing w:line="44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15</w:t>
            </w:r>
          </w:p>
        </w:tc>
        <w:tc>
          <w:tcPr>
            <w:tcW w:w="3679" w:type="dxa"/>
            <w:shd w:val="clear" w:color="auto" w:fill="auto"/>
            <w:noWrap/>
            <w:vAlign w:val="center"/>
          </w:tcPr>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绿色工厂</w:t>
            </w:r>
          </w:p>
        </w:tc>
        <w:tc>
          <w:tcPr>
            <w:tcW w:w="2786" w:type="dxa"/>
            <w:vMerge w:val="continue"/>
            <w:vAlign w:val="center"/>
          </w:tcPr>
          <w:p>
            <w:pPr>
              <w:keepNext/>
              <w:keepLines/>
              <w:widowControl/>
              <w:spacing w:before="340" w:after="330" w:line="440" w:lineRule="exact"/>
              <w:jc w:val="center"/>
              <w:rPr>
                <w:rFonts w:ascii="Times New Roman" w:hAnsi="Times New Roman" w:eastAsia="仿宋_GB2312" w:cs="Times New Roman"/>
                <w:color w:val="auto"/>
                <w:kern w:val="0"/>
                <w:sz w:val="24"/>
                <w:szCs w:val="24"/>
              </w:rPr>
            </w:pPr>
          </w:p>
        </w:tc>
        <w:tc>
          <w:tcPr>
            <w:tcW w:w="1516" w:type="dxa"/>
            <w:shd w:val="clear" w:color="auto" w:fill="auto"/>
            <w:noWrap/>
            <w:vAlign w:val="center"/>
          </w:tcPr>
          <w:p>
            <w:pPr>
              <w:widowControl/>
              <w:spacing w:line="440" w:lineRule="exact"/>
              <w:jc w:val="center"/>
              <w:rPr>
                <w:rFonts w:hint="eastAsia" w:ascii="Times New Roman" w:hAnsi="Times New Roman" w:eastAsia="仿宋_GB2312" w:cs="Times New Roman"/>
                <w:color w:val="auto"/>
                <w:kern w:val="0"/>
                <w:sz w:val="24"/>
                <w:szCs w:val="24"/>
                <w:lang w:val="zh-CN"/>
              </w:rPr>
            </w:pPr>
            <w:r>
              <w:rPr>
                <w:rFonts w:hint="eastAsia" w:ascii="Times New Roman" w:hAnsi="Times New Roman" w:eastAsia="仿宋_GB2312" w:cs="Times New Roman"/>
                <w:color w:val="auto"/>
                <w:kern w:val="0"/>
                <w:sz w:val="24"/>
                <w:szCs w:val="24"/>
                <w:lang w:val="zh-CN"/>
              </w:rPr>
              <w:t>市工业和</w:t>
            </w:r>
          </w:p>
          <w:p>
            <w:pPr>
              <w:widowControl/>
              <w:spacing w:line="44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信息化局</w:t>
            </w:r>
          </w:p>
        </w:tc>
      </w:tr>
    </w:tbl>
    <w:p>
      <w:pPr>
        <w:rPr>
          <w:rFonts w:ascii="Times New Roman" w:hAnsi="Times New Roman" w:cs="Times New Roman"/>
          <w:color w:val="auto"/>
        </w:rPr>
      </w:pPr>
    </w:p>
    <w:p>
      <w:pPr>
        <w:pStyle w:val="3"/>
        <w:widowControl w:val="0"/>
        <w:autoSpaceDE w:val="0"/>
        <w:autoSpaceDN w:val="0"/>
        <w:adjustRightInd w:val="0"/>
        <w:spacing w:line="240" w:lineRule="auto"/>
        <w:ind w:firstLine="0" w:firstLineChars="0"/>
        <w:jc w:val="center"/>
        <w:rPr>
          <w:rFonts w:ascii="Times New Roman" w:hAnsi="Times New Roman" w:eastAsia="仿宋" w:cs="Times New Roman"/>
          <w:b/>
          <w:color w:val="auto"/>
          <w:sz w:val="28"/>
          <w:szCs w:val="28"/>
        </w:rPr>
      </w:pPr>
      <w:r>
        <w:rPr>
          <w:rFonts w:ascii="Times New Roman" w:hAnsi="仿宋" w:eastAsia="仿宋" w:cs="Times New Roman"/>
          <w:b/>
          <w:color w:val="auto"/>
          <w:sz w:val="28"/>
          <w:szCs w:val="28"/>
        </w:rPr>
        <w:t>表</w:t>
      </w:r>
      <w:r>
        <w:rPr>
          <w:rFonts w:ascii="Times New Roman" w:hAnsi="Times New Roman" w:eastAsia="仿宋" w:cs="Times New Roman"/>
          <w:b/>
          <w:color w:val="auto"/>
          <w:sz w:val="28"/>
          <w:szCs w:val="28"/>
        </w:rPr>
        <w:t xml:space="preserve">2 </w:t>
      </w:r>
      <w:r>
        <w:rPr>
          <w:rFonts w:ascii="Times New Roman" w:hAnsi="仿宋" w:eastAsia="仿宋" w:cs="Times New Roman"/>
          <w:b/>
          <w:color w:val="auto"/>
          <w:sz w:val="28"/>
          <w:szCs w:val="28"/>
        </w:rPr>
        <w:t>减分项</w:t>
      </w:r>
    </w:p>
    <w:tbl>
      <w:tblPr>
        <w:tblStyle w:val="12"/>
        <w:tblW w:w="888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02"/>
        <w:gridCol w:w="1316"/>
        <w:gridCol w:w="3498"/>
        <w:gridCol w:w="30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8" w:hRule="atLeast"/>
          <w:jc w:val="center"/>
        </w:trPr>
        <w:tc>
          <w:tcPr>
            <w:tcW w:w="1002" w:type="dxa"/>
            <w:vAlign w:val="center"/>
          </w:tcPr>
          <w:p>
            <w:pPr>
              <w:autoSpaceDE w:val="0"/>
              <w:autoSpaceDN w:val="0"/>
              <w:adjustRightInd w:val="0"/>
              <w:spacing w:line="40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序号</w:t>
            </w:r>
          </w:p>
        </w:tc>
        <w:tc>
          <w:tcPr>
            <w:tcW w:w="1316" w:type="dxa"/>
            <w:vAlign w:val="center"/>
          </w:tcPr>
          <w:p>
            <w:pPr>
              <w:autoSpaceDE w:val="0"/>
              <w:autoSpaceDN w:val="0"/>
              <w:adjustRightInd w:val="0"/>
              <w:spacing w:line="40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减分项</w:t>
            </w:r>
          </w:p>
        </w:tc>
        <w:tc>
          <w:tcPr>
            <w:tcW w:w="3498" w:type="dxa"/>
            <w:vAlign w:val="center"/>
          </w:tcPr>
          <w:p>
            <w:pPr>
              <w:autoSpaceDE w:val="0"/>
              <w:autoSpaceDN w:val="0"/>
              <w:adjustRightInd w:val="0"/>
              <w:spacing w:line="40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减分细则</w:t>
            </w:r>
          </w:p>
        </w:tc>
        <w:tc>
          <w:tcPr>
            <w:tcW w:w="3070" w:type="dxa"/>
            <w:vAlign w:val="center"/>
          </w:tcPr>
          <w:p>
            <w:pPr>
              <w:autoSpaceDE w:val="0"/>
              <w:autoSpaceDN w:val="0"/>
              <w:adjustRightInd w:val="0"/>
              <w:spacing w:line="400" w:lineRule="exact"/>
              <w:jc w:val="center"/>
              <w:rPr>
                <w:rFonts w:ascii="Times New Roman" w:hAnsi="Times New Roman" w:eastAsia="仿宋_GB2312" w:cs="Times New Roman"/>
                <w:b/>
                <w:color w:val="auto"/>
                <w:kern w:val="0"/>
                <w:sz w:val="24"/>
                <w:szCs w:val="24"/>
              </w:rPr>
            </w:pPr>
            <w:r>
              <w:rPr>
                <w:rFonts w:hint="eastAsia" w:ascii="Times New Roman" w:hAnsi="Times New Roman" w:eastAsia="仿宋_GB2312" w:cs="Times New Roman"/>
                <w:b/>
                <w:color w:val="auto"/>
                <w:kern w:val="0"/>
                <w:sz w:val="24"/>
                <w:szCs w:val="24"/>
              </w:rPr>
              <w:t>数据来源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8" w:hRule="atLeast"/>
          <w:jc w:val="center"/>
        </w:trPr>
        <w:tc>
          <w:tcPr>
            <w:tcW w:w="1002"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1</w:t>
            </w:r>
          </w:p>
        </w:tc>
        <w:tc>
          <w:tcPr>
            <w:tcW w:w="1316"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安全生产</w:t>
            </w:r>
          </w:p>
        </w:tc>
        <w:tc>
          <w:tcPr>
            <w:tcW w:w="3498"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评价年度发生安全生产一般事故、燃爆事故减</w:t>
            </w: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分</w:t>
            </w:r>
          </w:p>
        </w:tc>
        <w:tc>
          <w:tcPr>
            <w:tcW w:w="3070"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市应急管理局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jc w:val="center"/>
        </w:trPr>
        <w:tc>
          <w:tcPr>
            <w:tcW w:w="1002"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2</w:t>
            </w:r>
          </w:p>
        </w:tc>
        <w:tc>
          <w:tcPr>
            <w:tcW w:w="1316"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生态环境</w:t>
            </w:r>
          </w:p>
        </w:tc>
        <w:tc>
          <w:tcPr>
            <w:tcW w:w="3498"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评价年度因排污受行政处罚减</w:t>
            </w: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分</w:t>
            </w:r>
          </w:p>
        </w:tc>
        <w:tc>
          <w:tcPr>
            <w:tcW w:w="3070"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市生态环境局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5" w:hRule="atLeast"/>
          <w:jc w:val="center"/>
        </w:trPr>
        <w:tc>
          <w:tcPr>
            <w:tcW w:w="1002"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3</w:t>
            </w:r>
          </w:p>
        </w:tc>
        <w:tc>
          <w:tcPr>
            <w:tcW w:w="1316"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产品质量</w:t>
            </w:r>
          </w:p>
        </w:tc>
        <w:tc>
          <w:tcPr>
            <w:tcW w:w="3498"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评价年度产品质量不达标被处罚减</w:t>
            </w: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分</w:t>
            </w:r>
          </w:p>
        </w:tc>
        <w:tc>
          <w:tcPr>
            <w:tcW w:w="3070"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市市场监督管理局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6" w:hRule="atLeast"/>
          <w:jc w:val="center"/>
        </w:trPr>
        <w:tc>
          <w:tcPr>
            <w:tcW w:w="1002"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4</w:t>
            </w:r>
          </w:p>
        </w:tc>
        <w:tc>
          <w:tcPr>
            <w:tcW w:w="1316"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企业经营</w:t>
            </w:r>
          </w:p>
        </w:tc>
        <w:tc>
          <w:tcPr>
            <w:tcW w:w="3498" w:type="dxa"/>
            <w:vAlign w:val="center"/>
          </w:tcPr>
          <w:p>
            <w:pPr>
              <w:autoSpaceDE w:val="0"/>
              <w:autoSpaceDN w:val="0"/>
              <w:adjustRightInd w:val="0"/>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被列入经营异常名录减</w:t>
            </w: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分</w:t>
            </w:r>
          </w:p>
        </w:tc>
        <w:tc>
          <w:tcPr>
            <w:tcW w:w="3070"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市市场监督管理局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8" w:hRule="atLeast"/>
          <w:jc w:val="center"/>
        </w:trPr>
        <w:tc>
          <w:tcPr>
            <w:tcW w:w="1002"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5</w:t>
            </w:r>
          </w:p>
        </w:tc>
        <w:tc>
          <w:tcPr>
            <w:tcW w:w="1316"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企业信用</w:t>
            </w:r>
          </w:p>
        </w:tc>
        <w:tc>
          <w:tcPr>
            <w:tcW w:w="3498"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拖欠电费、水费、燃气费3个月以上的减</w:t>
            </w: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分</w:t>
            </w:r>
          </w:p>
        </w:tc>
        <w:tc>
          <w:tcPr>
            <w:tcW w:w="3070"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zh-CN"/>
              </w:rPr>
              <w:t>广西电网有限责任公司柳州供电局</w:t>
            </w:r>
            <w:r>
              <w:rPr>
                <w:rFonts w:hint="eastAsia" w:ascii="Times New Roman" w:hAnsi="Times New Roman" w:eastAsia="仿宋_GB2312" w:cs="Times New Roman"/>
                <w:color w:val="auto"/>
                <w:kern w:val="0"/>
                <w:sz w:val="24"/>
                <w:szCs w:val="24"/>
              </w:rPr>
              <w:t>、</w:t>
            </w:r>
            <w:r>
              <w:rPr>
                <w:rFonts w:hint="eastAsia" w:ascii="Times New Roman" w:hAnsi="Times New Roman" w:eastAsia="仿宋_GB2312" w:cs="Times New Roman"/>
                <w:color w:val="auto"/>
                <w:kern w:val="0"/>
                <w:sz w:val="24"/>
                <w:szCs w:val="24"/>
                <w:lang w:val="zh-CN"/>
              </w:rPr>
              <w:t>市水务投资集团有限公司</w:t>
            </w:r>
            <w:r>
              <w:rPr>
                <w:rFonts w:hint="eastAsia" w:ascii="Times New Roman" w:hAnsi="Times New Roman" w:eastAsia="仿宋_GB2312" w:cs="Times New Roman"/>
                <w:color w:val="auto"/>
                <w:kern w:val="0"/>
                <w:sz w:val="24"/>
                <w:szCs w:val="24"/>
              </w:rPr>
              <w:t>、柳州中燃城市燃气发展有限公司</w:t>
            </w:r>
            <w:r>
              <w:rPr>
                <w:rFonts w:hint="eastAsia" w:ascii="Times New Roman" w:hAnsi="Times New Roman" w:eastAsia="仿宋_GB2312" w:cs="Times New Roman"/>
                <w:color w:val="auto"/>
                <w:kern w:val="0"/>
                <w:sz w:val="24"/>
                <w:szCs w:val="24"/>
                <w:lang w:eastAsia="zh-CN"/>
              </w:rPr>
              <w:t>、</w:t>
            </w:r>
            <w:r>
              <w:rPr>
                <w:rFonts w:hint="eastAsia" w:ascii="Times New Roman" w:hAnsi="Times New Roman" w:eastAsia="仿宋_GB2312" w:cs="Times New Roman"/>
                <w:color w:val="auto"/>
                <w:kern w:val="0"/>
                <w:sz w:val="24"/>
                <w:szCs w:val="24"/>
              </w:rPr>
              <w:t>柳州东燃燃气发展有限公司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8" w:hRule="atLeast"/>
          <w:jc w:val="center"/>
        </w:trPr>
        <w:tc>
          <w:tcPr>
            <w:tcW w:w="1002"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ascii="Times New Roman" w:hAnsi="Times New Roman" w:eastAsia="仿宋_GB2312" w:cs="Times New Roman"/>
                <w:color w:val="auto"/>
                <w:kern w:val="0"/>
                <w:sz w:val="24"/>
                <w:szCs w:val="24"/>
              </w:rPr>
              <w:t>6</w:t>
            </w:r>
          </w:p>
        </w:tc>
        <w:tc>
          <w:tcPr>
            <w:tcW w:w="1316"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用地监管</w:t>
            </w:r>
          </w:p>
        </w:tc>
        <w:tc>
          <w:tcPr>
            <w:tcW w:w="3498"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违约欠缴土地出让金，存在闲置土地（企业自身原因）且年内未处置到位的，每宗地减</w:t>
            </w:r>
            <w:r>
              <w:rPr>
                <w:rFonts w:ascii="Times New Roman" w:hAnsi="Times New Roman" w:eastAsia="仿宋_GB2312" w:cs="Times New Roman"/>
                <w:color w:val="auto"/>
                <w:kern w:val="0"/>
                <w:sz w:val="24"/>
                <w:szCs w:val="24"/>
              </w:rPr>
              <w:t>2</w:t>
            </w:r>
            <w:r>
              <w:rPr>
                <w:rFonts w:hint="eastAsia" w:ascii="Times New Roman" w:hAnsi="Times New Roman" w:eastAsia="仿宋_GB2312" w:cs="Times New Roman"/>
                <w:color w:val="auto"/>
                <w:kern w:val="0"/>
                <w:sz w:val="24"/>
                <w:szCs w:val="24"/>
              </w:rPr>
              <w:t>分</w:t>
            </w:r>
          </w:p>
        </w:tc>
        <w:tc>
          <w:tcPr>
            <w:tcW w:w="3070" w:type="dxa"/>
            <w:vAlign w:val="center"/>
          </w:tcPr>
          <w:p>
            <w:pPr>
              <w:autoSpaceDE w:val="0"/>
              <w:autoSpaceDN w:val="0"/>
              <w:adjustRightInd w:val="0"/>
              <w:spacing w:line="400" w:lineRule="exact"/>
              <w:jc w:val="center"/>
              <w:rPr>
                <w:rFonts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市自然资源和规划局</w:t>
            </w:r>
          </w:p>
        </w:tc>
      </w:tr>
    </w:tbl>
    <w:p>
      <w:pPr>
        <w:pStyle w:val="3"/>
        <w:spacing w:after="0" w:line="500" w:lineRule="exact"/>
        <w:ind w:firstLine="0" w:firstLineChars="0"/>
        <w:rPr>
          <w:rFonts w:ascii="仿宋" w:hAnsi="仿宋" w:eastAsia="仿宋" w:cs="仿宋"/>
          <w:color w:val="auto"/>
          <w:sz w:val="32"/>
        </w:rPr>
      </w:pPr>
    </w:p>
    <w:p>
      <w:pPr>
        <w:pStyle w:val="3"/>
        <w:spacing w:after="0" w:line="500" w:lineRule="exact"/>
        <w:ind w:firstLine="0" w:firstLineChars="0"/>
        <w:rPr>
          <w:rFonts w:ascii="仿宋" w:hAnsi="仿宋" w:eastAsia="仿宋" w:cs="仿宋"/>
          <w:color w:val="auto"/>
          <w:sz w:val="32"/>
        </w:rPr>
      </w:pPr>
    </w:p>
    <w:p>
      <w:pPr>
        <w:pStyle w:val="3"/>
        <w:spacing w:after="0" w:line="500" w:lineRule="exact"/>
        <w:ind w:firstLine="0" w:firstLineChars="0"/>
        <w:rPr>
          <w:rFonts w:ascii="仿宋" w:hAnsi="仿宋" w:eastAsia="仿宋" w:cs="仿宋"/>
          <w:color w:val="auto"/>
          <w:sz w:val="32"/>
        </w:rPr>
      </w:pPr>
    </w:p>
    <w:p>
      <w:pPr>
        <w:pStyle w:val="3"/>
        <w:spacing w:after="0" w:line="560" w:lineRule="exact"/>
        <w:ind w:firstLine="0" w:firstLineChars="0"/>
        <w:outlineLvl w:val="0"/>
        <w:rPr>
          <w:rFonts w:ascii="Times New Roman" w:hAnsi="Times New Roman" w:eastAsia="仿宋_GB2312" w:cs="Times New Roman"/>
          <w:color w:val="auto"/>
          <w:sz w:val="32"/>
          <w:shd w:val="clear" w:color="auto" w:fill="FFFFFF"/>
        </w:rPr>
      </w:pPr>
      <w:r>
        <w:rPr>
          <w:rFonts w:hint="eastAsia" w:ascii="Times New Roman" w:hAnsi="Times New Roman" w:eastAsia="仿宋_GB2312" w:cs="Times New Roman"/>
          <w:color w:val="auto"/>
          <w:sz w:val="32"/>
          <w:shd w:val="clear" w:color="auto" w:fill="FFFFFF"/>
        </w:rPr>
        <w:t>附件</w:t>
      </w:r>
      <w:r>
        <w:rPr>
          <w:rFonts w:ascii="Times New Roman" w:hAnsi="Times New Roman" w:eastAsia="仿宋_GB2312" w:cs="Times New Roman"/>
          <w:color w:val="auto"/>
          <w:sz w:val="32"/>
          <w:shd w:val="clear" w:color="auto" w:fill="FFFFFF"/>
        </w:rPr>
        <w:t>7</w:t>
      </w:r>
    </w:p>
    <w:p>
      <w:pPr>
        <w:pStyle w:val="3"/>
        <w:spacing w:after="0" w:line="500" w:lineRule="exact"/>
        <w:ind w:firstLine="0" w:firstLineChars="0"/>
        <w:jc w:val="center"/>
        <w:outlineLvl w:val="0"/>
        <w:rPr>
          <w:rFonts w:ascii="Times New Roman" w:hAnsi="Times New Roman" w:eastAsia="楷体_GB2312" w:cs="Times New Roman"/>
          <w:color w:val="auto"/>
          <w:sz w:val="32"/>
        </w:rPr>
      </w:pPr>
      <w:r>
        <w:rPr>
          <w:rFonts w:hint="eastAsia" w:ascii="华文中宋" w:hAnsi="华文中宋" w:eastAsia="华文中宋" w:cs="华文中宋"/>
          <w:color w:val="auto"/>
          <w:sz w:val="32"/>
        </w:rPr>
        <w:t>企业综合评价提档、降档规则</w:t>
      </w:r>
    </w:p>
    <w:p>
      <w:pPr>
        <w:tabs>
          <w:tab w:val="left" w:pos="312"/>
        </w:tabs>
        <w:autoSpaceDN w:val="0"/>
        <w:adjustRightInd w:val="0"/>
        <w:spacing w:line="560" w:lineRule="exact"/>
        <w:ind w:firstLine="640" w:firstLineChars="200"/>
        <w:rPr>
          <w:rFonts w:ascii="黑体" w:hAnsi="黑体" w:eastAsia="黑体" w:cs="黑体"/>
          <w:bCs/>
          <w:color w:val="auto"/>
          <w:kern w:val="0"/>
          <w:sz w:val="32"/>
          <w:szCs w:val="28"/>
        </w:rPr>
      </w:pPr>
      <w:r>
        <w:rPr>
          <w:rFonts w:hint="eastAsia" w:ascii="黑体" w:hAnsi="黑体" w:eastAsia="黑体" w:cs="黑体"/>
          <w:bCs/>
          <w:color w:val="auto"/>
          <w:kern w:val="0"/>
          <w:sz w:val="32"/>
          <w:szCs w:val="28"/>
        </w:rPr>
        <w:t>一、提档规则</w:t>
      </w:r>
    </w:p>
    <w:p>
      <w:pPr>
        <w:tabs>
          <w:tab w:val="left" w:pos="312"/>
        </w:tabs>
        <w:autoSpaceDN w:val="0"/>
        <w:adjustRightInd w:val="0"/>
        <w:spacing w:line="560" w:lineRule="exact"/>
        <w:ind w:firstLine="640" w:firstLineChars="200"/>
        <w:rPr>
          <w:rFonts w:ascii="Times New Roman" w:hAnsi="Times New Roman" w:eastAsia="仿宋_GB2312" w:cs="Times New Roman"/>
          <w:color w:val="auto"/>
          <w:kern w:val="0"/>
          <w:sz w:val="32"/>
          <w:szCs w:val="28"/>
        </w:rPr>
      </w:pPr>
      <w:r>
        <w:rPr>
          <w:rFonts w:hint="eastAsia" w:ascii="Times New Roman" w:hAnsi="Times New Roman" w:eastAsia="仿宋_GB2312" w:cs="Times New Roman"/>
          <w:color w:val="auto"/>
          <w:kern w:val="0"/>
          <w:sz w:val="32"/>
          <w:szCs w:val="28"/>
        </w:rPr>
        <w:t>（一）评价年度营业收入10亿元以上或应缴税金1000万元以上的企业可定为A类。</w:t>
      </w:r>
    </w:p>
    <w:p>
      <w:pPr>
        <w:tabs>
          <w:tab w:val="left" w:pos="312"/>
        </w:tabs>
        <w:autoSpaceDN w:val="0"/>
        <w:adjustRightInd w:val="0"/>
        <w:spacing w:line="560" w:lineRule="exact"/>
        <w:ind w:firstLine="640" w:firstLineChars="200"/>
        <w:rPr>
          <w:rFonts w:ascii="Times New Roman" w:hAnsi="Times New Roman" w:eastAsia="仿宋_GB2312" w:cs="Times New Roman"/>
          <w:color w:val="auto"/>
          <w:kern w:val="0"/>
          <w:sz w:val="32"/>
          <w:szCs w:val="28"/>
        </w:rPr>
      </w:pPr>
      <w:r>
        <w:rPr>
          <w:rFonts w:hint="eastAsia" w:ascii="Times New Roman" w:hAnsi="Times New Roman" w:eastAsia="仿宋_GB2312" w:cs="Times New Roman"/>
          <w:color w:val="auto"/>
          <w:kern w:val="0"/>
          <w:sz w:val="32"/>
          <w:szCs w:val="28"/>
        </w:rPr>
        <w:t>（二）评价年度营业收入8亿元以上或应缴税金800万元以上的企业，经企业所在开发区（工业园区）研究申请，经领导小组办公室同意可定为A类。</w:t>
      </w:r>
    </w:p>
    <w:p>
      <w:pPr>
        <w:tabs>
          <w:tab w:val="left" w:pos="312"/>
        </w:tabs>
        <w:autoSpaceDN w:val="0"/>
        <w:adjustRightInd w:val="0"/>
        <w:spacing w:line="560" w:lineRule="exact"/>
        <w:ind w:firstLine="640" w:firstLineChars="200"/>
        <w:rPr>
          <w:rFonts w:ascii="Times New Roman" w:hAnsi="Times New Roman" w:eastAsia="仿宋_GB2312" w:cs="Times New Roman"/>
          <w:color w:val="auto"/>
          <w:kern w:val="0"/>
          <w:sz w:val="32"/>
          <w:szCs w:val="28"/>
        </w:rPr>
      </w:pPr>
      <w:r>
        <w:rPr>
          <w:rFonts w:hint="eastAsia" w:ascii="Times New Roman" w:hAnsi="Times New Roman" w:eastAsia="仿宋_GB2312" w:cs="Times New Roman"/>
          <w:color w:val="auto"/>
          <w:kern w:val="0"/>
          <w:sz w:val="32"/>
          <w:szCs w:val="28"/>
        </w:rPr>
        <w:t>（三）评价年度获柳州市做出较大贡献荣誉的企业经领导小组研究同意可上调一档，最高上调到A类。</w:t>
      </w:r>
    </w:p>
    <w:p>
      <w:pPr>
        <w:tabs>
          <w:tab w:val="left" w:pos="312"/>
        </w:tabs>
        <w:autoSpaceDN w:val="0"/>
        <w:adjustRightInd w:val="0"/>
        <w:spacing w:line="560" w:lineRule="exact"/>
        <w:ind w:firstLine="640" w:firstLineChars="200"/>
        <w:rPr>
          <w:rFonts w:ascii="Times New Roman" w:hAnsi="Times New Roman" w:eastAsia="仿宋_GB2312" w:cs="Times New Roman"/>
          <w:color w:val="auto"/>
          <w:kern w:val="0"/>
          <w:sz w:val="32"/>
          <w:szCs w:val="28"/>
        </w:rPr>
      </w:pPr>
      <w:r>
        <w:rPr>
          <w:rFonts w:hint="eastAsia" w:ascii="Times New Roman" w:hAnsi="Times New Roman" w:eastAsia="仿宋_GB2312" w:cs="Times New Roman"/>
          <w:color w:val="auto"/>
          <w:kern w:val="0"/>
          <w:sz w:val="32"/>
          <w:szCs w:val="28"/>
        </w:rPr>
        <w:t>（四）评价结果为C类、D类，有效期内的国家高新技术企业可上调一档，最高上调到B类。</w:t>
      </w:r>
    </w:p>
    <w:p>
      <w:pPr>
        <w:tabs>
          <w:tab w:val="left" w:pos="312"/>
        </w:tabs>
        <w:autoSpaceDN w:val="0"/>
        <w:adjustRightInd w:val="0"/>
        <w:spacing w:line="560" w:lineRule="exact"/>
        <w:ind w:firstLine="640" w:firstLineChars="200"/>
        <w:rPr>
          <w:rFonts w:ascii="黑体" w:hAnsi="黑体" w:eastAsia="黑体" w:cs="黑体"/>
          <w:bCs/>
          <w:color w:val="auto"/>
          <w:kern w:val="0"/>
          <w:sz w:val="32"/>
          <w:szCs w:val="28"/>
        </w:rPr>
      </w:pPr>
      <w:r>
        <w:rPr>
          <w:rFonts w:hint="eastAsia" w:ascii="黑体" w:hAnsi="黑体" w:eastAsia="黑体" w:cs="黑体"/>
          <w:bCs/>
          <w:color w:val="auto"/>
          <w:kern w:val="0"/>
          <w:sz w:val="32"/>
          <w:szCs w:val="28"/>
        </w:rPr>
        <w:t>二、降档规则</w:t>
      </w:r>
    </w:p>
    <w:p>
      <w:pPr>
        <w:autoSpaceDE w:val="0"/>
        <w:autoSpaceDN w:val="0"/>
        <w:adjustRightInd w:val="0"/>
        <w:spacing w:line="560" w:lineRule="exact"/>
        <w:ind w:firstLine="640" w:firstLineChars="200"/>
        <w:rPr>
          <w:rFonts w:ascii="Times New Roman" w:hAnsi="Times New Roman" w:eastAsia="仿宋_GB2312" w:cs="Times New Roman"/>
          <w:color w:val="auto"/>
          <w:kern w:val="0"/>
          <w:sz w:val="32"/>
          <w:szCs w:val="28"/>
        </w:rPr>
      </w:pPr>
      <w:r>
        <w:rPr>
          <w:rFonts w:hint="eastAsia" w:ascii="Times New Roman" w:hAnsi="Times New Roman" w:eastAsia="仿宋_GB2312" w:cs="Times New Roman"/>
          <w:color w:val="auto"/>
          <w:kern w:val="0"/>
          <w:sz w:val="32"/>
          <w:szCs w:val="28"/>
        </w:rPr>
        <w:t>（一）</w:t>
      </w:r>
      <w:r>
        <w:rPr>
          <w:rFonts w:hint="eastAsia" w:ascii="Times New Roman" w:hAnsi="Times New Roman" w:eastAsia="仿宋_GB2312" w:cs="Times New Roman"/>
          <w:color w:val="auto"/>
          <w:sz w:val="32"/>
          <w:szCs w:val="28"/>
        </w:rPr>
        <w:t>评价年度</w:t>
      </w:r>
      <w:r>
        <w:rPr>
          <w:rFonts w:hint="eastAsia" w:ascii="Times New Roman" w:hAnsi="Times New Roman" w:eastAsia="仿宋_GB2312" w:cs="Times New Roman"/>
          <w:color w:val="auto"/>
          <w:kern w:val="0"/>
          <w:sz w:val="32"/>
          <w:szCs w:val="28"/>
        </w:rPr>
        <w:t>在环境保护、安全生产、食（药）品安全、知识产权、税收等领域发生重大事故或严重违法违规行为的直接定</w:t>
      </w:r>
      <w:r>
        <w:rPr>
          <w:rFonts w:ascii="Times New Roman" w:hAnsi="Times New Roman" w:eastAsia="仿宋_GB2312" w:cs="Times New Roman"/>
          <w:color w:val="auto"/>
          <w:kern w:val="0"/>
          <w:sz w:val="32"/>
          <w:szCs w:val="28"/>
        </w:rPr>
        <w:t>D</w:t>
      </w:r>
      <w:r>
        <w:rPr>
          <w:rFonts w:hint="eastAsia" w:ascii="Times New Roman" w:hAnsi="Times New Roman" w:eastAsia="仿宋_GB2312" w:cs="Times New Roman"/>
          <w:color w:val="auto"/>
          <w:kern w:val="0"/>
          <w:sz w:val="32"/>
          <w:szCs w:val="28"/>
        </w:rPr>
        <w:t>类。</w:t>
      </w:r>
    </w:p>
    <w:p>
      <w:pPr>
        <w:pStyle w:val="2"/>
        <w:spacing w:line="560" w:lineRule="exact"/>
        <w:ind w:firstLine="640"/>
        <w:jc w:val="both"/>
        <w:rPr>
          <w:rFonts w:ascii="Times New Roman" w:hAnsi="Times New Roman" w:eastAsia="仿宋_GB2312" w:cs="Times New Roman"/>
          <w:color w:val="auto"/>
          <w:szCs w:val="28"/>
        </w:rPr>
      </w:pPr>
      <w:r>
        <w:rPr>
          <w:rFonts w:hint="eastAsia" w:ascii="Times New Roman" w:hAnsi="Times New Roman" w:eastAsia="仿宋_GB2312" w:cs="Times New Roman"/>
          <w:color w:val="auto"/>
          <w:szCs w:val="28"/>
        </w:rPr>
        <w:t>（二）列入严重违法失信名单的直接定</w:t>
      </w:r>
      <w:r>
        <w:rPr>
          <w:rFonts w:ascii="Times New Roman" w:hAnsi="Times New Roman" w:eastAsia="仿宋_GB2312" w:cs="Times New Roman"/>
          <w:color w:val="auto"/>
          <w:szCs w:val="28"/>
        </w:rPr>
        <w:t>D</w:t>
      </w:r>
      <w:r>
        <w:rPr>
          <w:rFonts w:hint="eastAsia" w:ascii="Times New Roman" w:hAnsi="Times New Roman" w:eastAsia="仿宋_GB2312" w:cs="Times New Roman"/>
          <w:color w:val="auto"/>
          <w:szCs w:val="28"/>
        </w:rPr>
        <w:t>类。</w:t>
      </w:r>
    </w:p>
    <w:p>
      <w:pPr>
        <w:autoSpaceDE w:val="0"/>
        <w:autoSpaceDN w:val="0"/>
        <w:adjustRightInd w:val="0"/>
        <w:spacing w:line="560" w:lineRule="exact"/>
        <w:ind w:firstLine="640" w:firstLineChars="200"/>
        <w:rPr>
          <w:rFonts w:ascii="仿宋" w:hAnsi="仿宋" w:eastAsia="仿宋" w:cs="仿宋"/>
          <w:color w:val="auto"/>
          <w:kern w:val="0"/>
          <w:sz w:val="32"/>
        </w:rPr>
      </w:pPr>
      <w:r>
        <w:rPr>
          <w:rFonts w:hint="eastAsia" w:ascii="Times New Roman" w:hAnsi="Times New Roman" w:eastAsia="仿宋_GB2312" w:cs="Times New Roman"/>
          <w:color w:val="auto"/>
          <w:kern w:val="0"/>
          <w:sz w:val="32"/>
          <w:szCs w:val="28"/>
        </w:rPr>
        <w:t>（三）拒绝提供相关资料数据和瞒报、故意漏报及逃避评价、不配合完成评价工作的直接定</w:t>
      </w:r>
      <w:r>
        <w:rPr>
          <w:rFonts w:ascii="Times New Roman" w:hAnsi="Times New Roman" w:eastAsia="仿宋_GB2312" w:cs="Times New Roman"/>
          <w:color w:val="auto"/>
          <w:kern w:val="0"/>
          <w:sz w:val="32"/>
          <w:szCs w:val="28"/>
        </w:rPr>
        <w:t>D</w:t>
      </w:r>
      <w:r>
        <w:rPr>
          <w:rFonts w:hint="eastAsia" w:ascii="Times New Roman" w:hAnsi="Times New Roman" w:eastAsia="仿宋_GB2312" w:cs="Times New Roman"/>
          <w:color w:val="auto"/>
          <w:kern w:val="0"/>
          <w:sz w:val="32"/>
          <w:szCs w:val="28"/>
        </w:rPr>
        <w:t>类。</w:t>
      </w:r>
    </w:p>
    <w:p>
      <w:pPr>
        <w:rPr>
          <w:color w:val="auto"/>
        </w:rPr>
      </w:pPr>
    </w:p>
    <w:p>
      <w:pPr>
        <w:autoSpaceDE w:val="0"/>
        <w:autoSpaceDN w:val="0"/>
        <w:adjustRightInd w:val="0"/>
        <w:spacing w:line="560" w:lineRule="exact"/>
        <w:ind w:firstLine="640"/>
        <w:rPr>
          <w:color w:val="auto"/>
        </w:rPr>
      </w:pPr>
    </w:p>
    <w:p>
      <w:pPr>
        <w:pStyle w:val="2"/>
        <w:ind w:firstLine="640"/>
        <w:rPr>
          <w:color w:val="auto"/>
        </w:rPr>
      </w:pPr>
    </w:p>
    <w:p>
      <w:pPr>
        <w:autoSpaceDE w:val="0"/>
        <w:autoSpaceDN w:val="0"/>
        <w:adjustRightInd w:val="0"/>
        <w:spacing w:line="560" w:lineRule="exact"/>
        <w:ind w:firstLine="640"/>
        <w:rPr>
          <w:color w:val="auto"/>
        </w:rPr>
      </w:pPr>
    </w:p>
    <w:p>
      <w:pPr>
        <w:pStyle w:val="2"/>
        <w:autoSpaceDE w:val="0"/>
        <w:autoSpaceDN w:val="0"/>
        <w:adjustRightInd w:val="0"/>
        <w:spacing w:line="560" w:lineRule="exact"/>
        <w:ind w:firstLine="640"/>
        <w:rPr>
          <w:color w:val="auto"/>
        </w:rPr>
      </w:pPr>
    </w:p>
    <w:p>
      <w:pPr>
        <w:rPr>
          <w:color w:val="auto"/>
        </w:rPr>
      </w:pPr>
    </w:p>
    <w:p>
      <w:pPr>
        <w:autoSpaceDE w:val="0"/>
        <w:autoSpaceDN w:val="0"/>
        <w:adjustRightInd w:val="0"/>
        <w:spacing w:line="500" w:lineRule="exact"/>
        <w:jc w:val="left"/>
        <w:outlineLvl w:val="0"/>
        <w:rPr>
          <w:rFonts w:ascii="Times New Roman" w:hAnsi="Times New Roman" w:eastAsia="仿宋_GB2312" w:cs="Times New Roman"/>
          <w:color w:val="auto"/>
          <w:kern w:val="0"/>
          <w:sz w:val="32"/>
        </w:rPr>
      </w:pPr>
      <w:r>
        <w:rPr>
          <w:rFonts w:hint="eastAsia" w:ascii="Times New Roman" w:hAnsi="Times New Roman" w:eastAsia="仿宋_GB2312" w:cs="Times New Roman"/>
          <w:color w:val="auto"/>
          <w:kern w:val="0"/>
          <w:sz w:val="32"/>
        </w:rPr>
        <w:t>附件</w:t>
      </w:r>
      <w:r>
        <w:rPr>
          <w:rFonts w:ascii="Times New Roman" w:hAnsi="Times New Roman" w:eastAsia="仿宋_GB2312" w:cs="Times New Roman"/>
          <w:color w:val="auto"/>
          <w:kern w:val="0"/>
          <w:sz w:val="32"/>
        </w:rPr>
        <w:t>8</w:t>
      </w:r>
    </w:p>
    <w:p>
      <w:pPr>
        <w:autoSpaceDE w:val="0"/>
        <w:autoSpaceDN w:val="0"/>
        <w:adjustRightInd w:val="0"/>
        <w:spacing w:line="600" w:lineRule="exact"/>
        <w:jc w:val="center"/>
        <w:outlineLvl w:val="0"/>
        <w:rPr>
          <w:rFonts w:ascii="Times New Roman" w:hAnsi="Times New Roman" w:eastAsia="楷体_GB2312" w:cs="Times New Roman"/>
          <w:color w:val="auto"/>
          <w:kern w:val="0"/>
          <w:sz w:val="32"/>
        </w:rPr>
      </w:pPr>
      <w:r>
        <w:rPr>
          <w:rFonts w:hint="eastAsia" w:ascii="华文中宋" w:hAnsi="华文中宋" w:eastAsia="华文中宋" w:cs="华文中宋"/>
          <w:color w:val="auto"/>
          <w:kern w:val="0"/>
          <w:sz w:val="32"/>
        </w:rPr>
        <w:t>综合评价指标解释及数据来源</w:t>
      </w:r>
    </w:p>
    <w:p>
      <w:pPr>
        <w:pStyle w:val="2"/>
        <w:spacing w:line="560" w:lineRule="exact"/>
        <w:ind w:firstLine="640"/>
        <w:jc w:val="both"/>
        <w:rPr>
          <w:rFonts w:ascii="黑体" w:hAnsi="黑体" w:eastAsia="黑体" w:cs="黑体"/>
          <w:color w:val="auto"/>
          <w:szCs w:val="32"/>
        </w:rPr>
      </w:pPr>
      <w:r>
        <w:rPr>
          <w:rFonts w:hint="eastAsia" w:ascii="黑体" w:hAnsi="黑体" w:eastAsia="黑体" w:cs="黑体"/>
          <w:color w:val="auto"/>
          <w:szCs w:val="32"/>
        </w:rPr>
        <w:t>一、参评工业企业、物流企业</w:t>
      </w:r>
    </w:p>
    <w:p>
      <w:pPr>
        <w:tabs>
          <w:tab w:val="left" w:pos="312"/>
        </w:tabs>
        <w:autoSpaceDN w:val="0"/>
        <w:adjustRightInd w:val="0"/>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评价年度12月31日规模以上在库的工业、物流企业。（市统计局）</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二、用地面积</w:t>
      </w:r>
    </w:p>
    <w:p>
      <w:pPr>
        <w:widowControl/>
        <w:shd w:val="clear" w:color="auto" w:fill="FFFFFF"/>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价年度参评企业年末实际合法使用的土地面积，包括企业通过政府出让、划拨和土地二级市场获得使用权的国有建设用地，通过租赁及其他方式实际使用的国有建设用地等。用地面积＝已登记土地面积＋事实用地面积＋承租用地面积－出租用地面积－新增用地面积－新减用地面积。〔市自然资源和规划局、</w:t>
      </w:r>
      <w:r>
        <w:rPr>
          <w:rFonts w:hint="eastAsia" w:ascii="Times New Roman" w:hAnsi="Times New Roman" w:eastAsia="仿宋_GB2312" w:cs="Times New Roman"/>
          <w:color w:val="auto"/>
          <w:sz w:val="32"/>
          <w:szCs w:val="32"/>
          <w:lang w:eastAsia="zh-CN"/>
        </w:rPr>
        <w:t>各县、区人民政府</w:t>
      </w:r>
      <w:r>
        <w:rPr>
          <w:rFonts w:hint="eastAsia" w:ascii="Times New Roman" w:hAnsi="Times New Roman" w:eastAsia="仿宋_GB2312" w:cs="Times New Roman"/>
          <w:color w:val="auto"/>
          <w:sz w:val="32"/>
          <w:szCs w:val="32"/>
        </w:rPr>
        <w:t>〕</w:t>
      </w:r>
    </w:p>
    <w:p>
      <w:pPr>
        <w:widowControl/>
        <w:shd w:val="clear" w:color="auto" w:fill="FFFFFF"/>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用地面积根据企业用地的不同类型，按下列类型汇总计算。</w:t>
      </w:r>
    </w:p>
    <w:p>
      <w:pPr>
        <w:widowControl/>
        <w:spacing w:line="560" w:lineRule="exact"/>
        <w:ind w:firstLine="643" w:firstLineChars="200"/>
        <w:jc w:val="lef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color w:val="auto"/>
          <w:kern w:val="0"/>
          <w:sz w:val="32"/>
          <w:szCs w:val="32"/>
        </w:rPr>
        <w:t>已登记土地</w:t>
      </w:r>
      <w:r>
        <w:rPr>
          <w:rFonts w:hint="eastAsia" w:ascii="Times New Roman" w:hAnsi="Times New Roman" w:eastAsia="仿宋_GB2312" w:cs="Times New Roman"/>
          <w:color w:val="auto"/>
          <w:kern w:val="0"/>
          <w:sz w:val="32"/>
          <w:szCs w:val="32"/>
        </w:rPr>
        <w:t>：经自然资源部门登记或批准的用途为工业或仓储用地的土地面积。（工业厂房按栋、层分割的，用地面积</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按栋、层分割的厂房建筑面积÷按容积率计算的宗地总建筑面积×宗地土地面积。）</w:t>
      </w:r>
    </w:p>
    <w:p>
      <w:pPr>
        <w:widowControl/>
        <w:shd w:val="clear" w:color="auto" w:fill="FFFFFF"/>
        <w:spacing w:line="560" w:lineRule="exact"/>
        <w:ind w:firstLine="643" w:firstLineChars="200"/>
        <w:rPr>
          <w:rFonts w:ascii="Times New Roman" w:hAnsi="Times New Roman" w:eastAsia="宋体" w:cs="Times New Roman"/>
          <w:color w:val="auto"/>
          <w:kern w:val="0"/>
          <w:sz w:val="32"/>
          <w:szCs w:val="32"/>
        </w:rPr>
      </w:pPr>
      <w:r>
        <w:rPr>
          <w:rFonts w:hint="eastAsia" w:ascii="Times New Roman" w:hAnsi="Times New Roman" w:eastAsia="仿宋_GB2312" w:cs="Times New Roman"/>
          <w:b/>
          <w:color w:val="auto"/>
          <w:kern w:val="0"/>
          <w:sz w:val="32"/>
          <w:szCs w:val="32"/>
        </w:rPr>
        <w:t>事实用地</w:t>
      </w:r>
      <w:r>
        <w:rPr>
          <w:rFonts w:hint="eastAsia" w:ascii="Times New Roman" w:hAnsi="Times New Roman" w:eastAsia="仿宋_GB2312" w:cs="Times New Roman"/>
          <w:color w:val="auto"/>
          <w:kern w:val="0"/>
          <w:sz w:val="32"/>
          <w:szCs w:val="32"/>
        </w:rPr>
        <w:t>：登记用地以外，因各种情况或历史原因已形成（包括未办证）的事实合法用地。</w:t>
      </w:r>
    </w:p>
    <w:p>
      <w:pPr>
        <w:widowControl/>
        <w:shd w:val="clear" w:color="auto" w:fill="FFFFFF"/>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color w:val="auto"/>
          <w:kern w:val="0"/>
          <w:sz w:val="32"/>
          <w:szCs w:val="32"/>
        </w:rPr>
        <w:t>承租用地</w:t>
      </w:r>
      <w:r>
        <w:rPr>
          <w:rFonts w:hint="eastAsia" w:ascii="Times New Roman" w:hAnsi="Times New Roman" w:eastAsia="仿宋_GB2312" w:cs="Times New Roman"/>
          <w:color w:val="auto"/>
          <w:kern w:val="0"/>
          <w:sz w:val="32"/>
          <w:szCs w:val="32"/>
        </w:rPr>
        <w:t>：已登记宗地、事实用地外，依法向其他主体承租的土地面积。（承租厂房面积根据容积率换算为承租土地面积，计算公式：承租用地面积</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承租厂房建筑面积÷按容积率计算的宗地总建筑面积×宗地土地面积，承租厂房不能按容积率计算承租用地面积的，按</w:t>
      </w:r>
      <w:r>
        <w:rPr>
          <w:rFonts w:ascii="Times New Roman" w:hAnsi="Times New Roman" w:cs="Times New Roman"/>
          <w:color w:val="auto"/>
          <w:sz w:val="32"/>
          <w:szCs w:val="32"/>
        </w:rPr>
        <w:t>1500</w:t>
      </w:r>
      <w:r>
        <w:rPr>
          <w:rFonts w:hint="eastAsia" w:ascii="Times New Roman" w:cs="Times New Roman"/>
          <w:color w:val="auto"/>
          <w:sz w:val="32"/>
          <w:szCs w:val="32"/>
        </w:rPr>
        <w:t>㎡</w:t>
      </w:r>
      <w:r>
        <w:rPr>
          <w:rFonts w:hint="eastAsia" w:ascii="Times New Roman" w:hAnsi="Times New Roman" w:eastAsia="仿宋_GB2312" w:cs="Times New Roman"/>
          <w:color w:val="auto"/>
          <w:kern w:val="0"/>
          <w:sz w:val="32"/>
          <w:szCs w:val="32"/>
        </w:rPr>
        <w:t>折算为</w:t>
      </w: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亩用地面积）。改变土地用途的不计入用地面积。</w:t>
      </w:r>
    </w:p>
    <w:p>
      <w:pPr>
        <w:widowControl/>
        <w:shd w:val="clear" w:color="auto" w:fill="FFFFFF"/>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color w:val="auto"/>
          <w:kern w:val="0"/>
          <w:sz w:val="32"/>
          <w:szCs w:val="32"/>
        </w:rPr>
        <w:t>出租用地</w:t>
      </w:r>
      <w:r>
        <w:rPr>
          <w:rFonts w:hint="eastAsia" w:ascii="Times New Roman" w:hAnsi="Times New Roman" w:eastAsia="仿宋_GB2312" w:cs="Times New Roman"/>
          <w:color w:val="auto"/>
          <w:kern w:val="0"/>
          <w:sz w:val="32"/>
          <w:szCs w:val="32"/>
        </w:rPr>
        <w:t>：依法将自有土地（厂房）出租给其他企业的土地面积（出租厂房面积应根据容积率换算为出租土地面积，计算公式：出租用地面积</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出租厂房建筑面积÷按容积率计算的宗地总建筑面积×宗地土地面积，出租厂房不能按容积率计算出租用地面积的，按</w:t>
      </w:r>
      <w:r>
        <w:rPr>
          <w:rFonts w:ascii="Times New Roman" w:hAnsi="Times New Roman" w:eastAsia="仿宋_GB2312" w:cs="Times New Roman"/>
          <w:color w:val="auto"/>
          <w:kern w:val="0"/>
          <w:sz w:val="32"/>
          <w:szCs w:val="32"/>
        </w:rPr>
        <w:t>1500</w:t>
      </w:r>
      <w:r>
        <w:rPr>
          <w:rFonts w:hint="eastAsia" w:ascii="Times New Roman" w:hAnsi="Times New Roman" w:eastAsia="宋体" w:cs="Times New Roman"/>
          <w:color w:val="auto"/>
          <w:kern w:val="0"/>
          <w:sz w:val="32"/>
          <w:szCs w:val="32"/>
        </w:rPr>
        <w:t>㎡</w:t>
      </w:r>
      <w:r>
        <w:rPr>
          <w:rFonts w:hint="eastAsia" w:ascii="Times New Roman" w:hAnsi="Times New Roman" w:eastAsia="仿宋_GB2312" w:cs="Times New Roman"/>
          <w:color w:val="auto"/>
          <w:kern w:val="0"/>
          <w:sz w:val="32"/>
          <w:szCs w:val="32"/>
        </w:rPr>
        <w:t>折算为</w:t>
      </w: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亩用地面积）。改变土地用途的不计入用地面积。</w:t>
      </w:r>
    </w:p>
    <w:p>
      <w:pPr>
        <w:widowControl/>
        <w:shd w:val="clear" w:color="auto" w:fill="FFFFFF"/>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color w:val="auto"/>
          <w:kern w:val="0"/>
          <w:sz w:val="32"/>
          <w:szCs w:val="32"/>
        </w:rPr>
        <w:t>新增用地</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sz w:val="32"/>
          <w:szCs w:val="32"/>
          <w:shd w:val="clear" w:color="auto" w:fill="FFFFFF"/>
        </w:rPr>
        <w:t>自土地出让合同约定的竣工期限至评价年度的</w:t>
      </w:r>
      <w:r>
        <w:rPr>
          <w:rFonts w:ascii="Times New Roman" w:hAnsi="Times New Roman" w:eastAsia="仿宋_GB2312" w:cs="Times New Roman"/>
          <w:color w:val="auto"/>
          <w:sz w:val="32"/>
          <w:szCs w:val="32"/>
          <w:shd w:val="clear" w:color="auto" w:fill="FFFFFF"/>
        </w:rPr>
        <w:t>12</w:t>
      </w:r>
      <w:r>
        <w:rPr>
          <w:rFonts w:hint="eastAsia" w:ascii="Times New Roman" w:hAnsi="Times New Roman" w:eastAsia="仿宋_GB2312" w:cs="Times New Roman"/>
          <w:color w:val="auto"/>
          <w:sz w:val="32"/>
          <w:szCs w:val="32"/>
          <w:shd w:val="clear" w:color="auto" w:fill="FFFFFF"/>
        </w:rPr>
        <w:t>月</w:t>
      </w:r>
      <w:r>
        <w:rPr>
          <w:rFonts w:ascii="Times New Roman" w:hAnsi="Times New Roman" w:eastAsia="仿宋_GB2312" w:cs="Times New Roman"/>
          <w:color w:val="auto"/>
          <w:sz w:val="32"/>
          <w:szCs w:val="32"/>
          <w:shd w:val="clear" w:color="auto" w:fill="FFFFFF"/>
        </w:rPr>
        <w:t>31</w:t>
      </w:r>
      <w:r>
        <w:rPr>
          <w:rFonts w:hint="eastAsia" w:ascii="Times New Roman" w:hAnsi="Times New Roman" w:eastAsia="仿宋_GB2312" w:cs="Times New Roman"/>
          <w:color w:val="auto"/>
          <w:sz w:val="32"/>
          <w:szCs w:val="32"/>
          <w:shd w:val="clear" w:color="auto" w:fill="FFFFFF"/>
        </w:rPr>
        <w:t>日，不满</w:t>
      </w:r>
      <w:r>
        <w:rPr>
          <w:rFonts w:ascii="Times New Roman" w:hAnsi="Times New Roman"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rPr>
        <w:t>年的；（</w:t>
      </w:r>
      <w:r>
        <w:rPr>
          <w:rFonts w:ascii="Times New Roman" w:hAnsi="Times New Roman" w:eastAsia="仿宋_GB2312" w:cs="Times New Roman"/>
          <w:color w:val="auto"/>
          <w:sz w:val="32"/>
          <w:szCs w:val="32"/>
          <w:shd w:val="clear" w:color="auto" w:fill="FFFFFF"/>
        </w:rPr>
        <w:t>2</w:t>
      </w:r>
      <w:r>
        <w:rPr>
          <w:rFonts w:hint="eastAsia" w:ascii="Times New Roman" w:hAnsi="Times New Roman" w:eastAsia="仿宋_GB2312" w:cs="Times New Roman"/>
          <w:color w:val="auto"/>
          <w:sz w:val="32"/>
          <w:szCs w:val="32"/>
          <w:shd w:val="clear" w:color="auto" w:fill="FFFFFF"/>
        </w:rPr>
        <w:t>）通过转让或司法拍卖首次获得土地使用权的，自取得土地转让合同签订时间至评价年度的</w:t>
      </w:r>
      <w:r>
        <w:rPr>
          <w:rFonts w:ascii="Times New Roman" w:hAnsi="Times New Roman" w:eastAsia="仿宋_GB2312" w:cs="Times New Roman"/>
          <w:color w:val="auto"/>
          <w:sz w:val="32"/>
          <w:szCs w:val="32"/>
          <w:shd w:val="clear" w:color="auto" w:fill="FFFFFF"/>
        </w:rPr>
        <w:t>12</w:t>
      </w:r>
      <w:r>
        <w:rPr>
          <w:rFonts w:hint="eastAsia" w:ascii="Times New Roman" w:hAnsi="Times New Roman" w:eastAsia="仿宋_GB2312" w:cs="Times New Roman"/>
          <w:color w:val="auto"/>
          <w:sz w:val="32"/>
          <w:szCs w:val="32"/>
          <w:shd w:val="clear" w:color="auto" w:fill="FFFFFF"/>
        </w:rPr>
        <w:t>月</w:t>
      </w:r>
      <w:r>
        <w:rPr>
          <w:rFonts w:ascii="Times New Roman" w:hAnsi="Times New Roman" w:eastAsia="仿宋_GB2312" w:cs="Times New Roman"/>
          <w:color w:val="auto"/>
          <w:sz w:val="32"/>
          <w:szCs w:val="32"/>
          <w:shd w:val="clear" w:color="auto" w:fill="FFFFFF"/>
        </w:rPr>
        <w:t>31</w:t>
      </w:r>
      <w:r>
        <w:rPr>
          <w:rFonts w:hint="eastAsia" w:ascii="Times New Roman" w:hAnsi="Times New Roman" w:eastAsia="仿宋_GB2312" w:cs="Times New Roman"/>
          <w:color w:val="auto"/>
          <w:sz w:val="32"/>
          <w:szCs w:val="32"/>
          <w:shd w:val="clear" w:color="auto" w:fill="FFFFFF"/>
        </w:rPr>
        <w:t>日，不满</w:t>
      </w:r>
      <w:r>
        <w:rPr>
          <w:rFonts w:ascii="Times New Roman" w:hAnsi="Times New Roman" w:cs="Times New Roman"/>
          <w:color w:val="auto"/>
          <w:sz w:val="32"/>
          <w:szCs w:val="32"/>
          <w:shd w:val="clear" w:color="auto" w:fill="FFFFFF"/>
        </w:rPr>
        <w:t>1</w:t>
      </w:r>
      <w:r>
        <w:rPr>
          <w:rFonts w:hint="eastAsia" w:ascii="Times New Roman" w:hAnsi="Times New Roman" w:eastAsia="仿宋_GB2312" w:cs="Times New Roman"/>
          <w:color w:val="auto"/>
          <w:sz w:val="32"/>
          <w:szCs w:val="32"/>
          <w:shd w:val="clear" w:color="auto" w:fill="FFFFFF"/>
        </w:rPr>
        <w:t>年的；（</w:t>
      </w:r>
      <w:r>
        <w:rPr>
          <w:rFonts w:ascii="Times New Roman" w:hAnsi="Times New Roman" w:eastAsia="仿宋_GB2312" w:cs="Times New Roman"/>
          <w:color w:val="auto"/>
          <w:sz w:val="32"/>
          <w:szCs w:val="32"/>
          <w:shd w:val="clear" w:color="auto" w:fill="FFFFFF"/>
        </w:rPr>
        <w:t>3</w:t>
      </w:r>
      <w:r>
        <w:rPr>
          <w:rFonts w:hint="eastAsia"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kern w:val="0"/>
          <w:sz w:val="32"/>
          <w:szCs w:val="32"/>
        </w:rPr>
        <w:t>项目处建设期内的。以上三种</w:t>
      </w:r>
      <w:r>
        <w:rPr>
          <w:rFonts w:hint="eastAsia" w:ascii="Times New Roman" w:hAnsi="Times New Roman" w:eastAsia="仿宋_GB2312" w:cs="Times New Roman"/>
          <w:color w:val="auto"/>
          <w:sz w:val="32"/>
          <w:szCs w:val="32"/>
          <w:shd w:val="clear" w:color="auto" w:fill="FFFFFF"/>
        </w:rPr>
        <w:t>新增土地可不纳入用地面积。</w:t>
      </w:r>
    </w:p>
    <w:p>
      <w:pPr>
        <w:widowControl/>
        <w:shd w:val="clear" w:color="auto" w:fill="FFFFFF"/>
        <w:spacing w:line="560" w:lineRule="exact"/>
        <w:ind w:firstLine="643"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color w:val="auto"/>
          <w:kern w:val="0"/>
          <w:sz w:val="32"/>
          <w:szCs w:val="32"/>
        </w:rPr>
        <w:t>新减用地</w:t>
      </w:r>
      <w:r>
        <w:rPr>
          <w:rFonts w:hint="eastAsia" w:ascii="Times New Roman" w:hAnsi="Times New Roman" w:eastAsia="仿宋_GB2312" w:cs="Times New Roman"/>
          <w:color w:val="auto"/>
          <w:kern w:val="0"/>
          <w:sz w:val="32"/>
          <w:szCs w:val="32"/>
        </w:rPr>
        <w:t>：因征收、已拍卖或转让等原因事实上已不再占用但未从土地证登记面积中减扣的土地。</w:t>
      </w:r>
    </w:p>
    <w:p>
      <w:pPr>
        <w:autoSpaceDE w:val="0"/>
        <w:autoSpaceDN w:val="0"/>
        <w:adjustRightInd w:val="0"/>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一企多地”的，即同一企业（统一社会信用代码一致、企业名称一致或实质性同一企业）分别在多个城区、开发区（工业园区）生产和销售的，可合并为同一评价主体并确定唯一的参评企业，该企业亩均效益评价各项指标数据合并计算，评价结果仅对参评企业有效，其他实体不纳入亩均效益评价范围（母子公司，可选择全部子公司归并为母公司计算，或全部作为独立评价主体）。</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“一地多企”的，即同一宗地上有多个不同独立法人、自然人、其他组织经营主体的，应将该宗土地上所有租赁企业的调查数据汇总后，归入到该宗土地使用人，以宗地使用权人作为评价对象。</w:t>
      </w:r>
    </w:p>
    <w:p>
      <w:pPr>
        <w:widowControl/>
        <w:shd w:val="clear" w:color="auto" w:fill="FFFFFF"/>
        <w:spacing w:line="560" w:lineRule="exact"/>
        <w:ind w:firstLine="640" w:firstLineChars="200"/>
        <w:rPr>
          <w:color w:val="auto"/>
          <w:sz w:val="23"/>
          <w:szCs w:val="23"/>
          <w:shd w:val="clear" w:color="auto" w:fill="FFFFFF"/>
        </w:rPr>
      </w:pPr>
      <w:r>
        <w:rPr>
          <w:rFonts w:hint="eastAsia" w:ascii="黑体" w:hAnsi="黑体" w:eastAsia="黑体" w:cs="黑体"/>
          <w:color w:val="auto"/>
          <w:kern w:val="0"/>
          <w:sz w:val="32"/>
          <w:szCs w:val="32"/>
        </w:rPr>
        <w:t>三、企业应缴税款</w:t>
      </w:r>
    </w:p>
    <w:p>
      <w:pPr>
        <w:spacing w:line="560" w:lineRule="exact"/>
        <w:ind w:firstLine="640" w:firstLineChars="200"/>
        <w:textAlignment w:val="top"/>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rPr>
        <w:t>评价年度参评企业</w:t>
      </w:r>
      <w:r>
        <w:rPr>
          <w:rFonts w:hint="eastAsia" w:ascii="Times New Roman" w:hAnsi="Times New Roman" w:eastAsia="仿宋_GB2312" w:cs="Times New Roman"/>
          <w:color w:val="auto"/>
          <w:kern w:val="0"/>
          <w:sz w:val="32"/>
          <w:szCs w:val="32"/>
          <w:shd w:val="clear" w:color="auto" w:fill="FFFFFF"/>
        </w:rPr>
        <w:t>应缴税款</w:t>
      </w:r>
      <w:r>
        <w:rPr>
          <w:rFonts w:hint="eastAsia" w:ascii="Times New Roman" w:hAnsi="Times New Roman" w:eastAsia="仿宋_GB2312" w:cs="Times New Roman"/>
          <w:b/>
          <w:color w:val="auto"/>
          <w:kern w:val="0"/>
          <w:sz w:val="32"/>
          <w:szCs w:val="32"/>
        </w:rPr>
        <w:t>，包括增值税、消费税、企业所得税、个人所得税、城市维护建设税、房产税、城镇土地使用税、土地增值税、印花税、车船税、资源税、教育费附加、地方教育费附加等税费，不包括契税、耕地占用税、车辆购置税、委托代征税款以及滞纳金和罚款等。</w:t>
      </w:r>
      <w:r>
        <w:rPr>
          <w:rFonts w:hint="eastAsia" w:ascii="Times New Roman" w:hAnsi="Times New Roman" w:eastAsia="仿宋_GB2312" w:cs="Times New Roman"/>
          <w:color w:val="auto"/>
          <w:kern w:val="0"/>
          <w:sz w:val="32"/>
          <w:szCs w:val="32"/>
          <w:shd w:val="clear" w:color="auto" w:fill="FFFFFF"/>
        </w:rPr>
        <w:t>其中，企业享受税收减免、出口退免税、留抵退税及办理的部分缓税视同企业缴纳税额。根据上级政策变化等原因，适时调整。</w:t>
      </w:r>
      <w:r>
        <w:rPr>
          <w:rFonts w:hint="eastAsia" w:ascii="Times New Roman" w:hAnsi="Times New Roman" w:eastAsia="仿宋_GB2312" w:cs="Times New Roman"/>
          <w:color w:val="auto"/>
          <w:kern w:val="0"/>
          <w:sz w:val="32"/>
          <w:szCs w:val="32"/>
        </w:rPr>
        <w:t>（柳州市税务局）</w:t>
      </w:r>
    </w:p>
    <w:p>
      <w:pPr>
        <w:pStyle w:val="2"/>
        <w:spacing w:line="560" w:lineRule="exact"/>
        <w:ind w:firstLine="640"/>
        <w:jc w:val="both"/>
        <w:rPr>
          <w:rFonts w:ascii="黑体" w:hAnsi="黑体" w:eastAsia="黑体" w:cs="黑体"/>
          <w:color w:val="auto"/>
          <w:szCs w:val="32"/>
        </w:rPr>
      </w:pPr>
      <w:r>
        <w:rPr>
          <w:rFonts w:hint="eastAsia" w:ascii="黑体" w:hAnsi="黑体" w:eastAsia="黑体" w:cs="黑体"/>
          <w:color w:val="auto"/>
          <w:szCs w:val="32"/>
        </w:rPr>
        <w:t>四、工业增加值</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rPr>
        <w:t>评价年度参评企业</w:t>
      </w:r>
      <w:r>
        <w:rPr>
          <w:rFonts w:hint="eastAsia" w:ascii="Times New Roman" w:hAnsi="Times New Roman" w:eastAsia="仿宋_GB2312" w:cs="Times New Roman"/>
          <w:color w:val="auto"/>
          <w:kern w:val="0"/>
          <w:sz w:val="32"/>
          <w:szCs w:val="32"/>
        </w:rPr>
        <w:t>报告期内以货币形式表现的工业生产活动的最终成果。（市统计局）</w:t>
      </w:r>
    </w:p>
    <w:p>
      <w:pPr>
        <w:pStyle w:val="2"/>
        <w:spacing w:line="560" w:lineRule="exact"/>
        <w:ind w:firstLine="640"/>
        <w:jc w:val="both"/>
        <w:rPr>
          <w:rFonts w:ascii="黑体" w:hAnsi="黑体" w:eastAsia="黑体" w:cs="黑体"/>
          <w:color w:val="auto"/>
          <w:szCs w:val="32"/>
        </w:rPr>
      </w:pPr>
      <w:r>
        <w:rPr>
          <w:rFonts w:hint="eastAsia" w:ascii="黑体" w:hAnsi="黑体" w:eastAsia="黑体" w:cs="黑体"/>
          <w:color w:val="auto"/>
          <w:szCs w:val="32"/>
        </w:rPr>
        <w:t>五、工业总产值</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rPr>
        <w:t>评价年度参评企业</w:t>
      </w:r>
      <w:r>
        <w:rPr>
          <w:rFonts w:hint="eastAsia" w:ascii="Times New Roman" w:hAnsi="Times New Roman" w:eastAsia="仿宋_GB2312" w:cs="Times New Roman"/>
          <w:color w:val="auto"/>
          <w:kern w:val="0"/>
          <w:sz w:val="32"/>
          <w:szCs w:val="32"/>
        </w:rPr>
        <w:t>在报告期内生产的以货币形式表现的工业最终产品和提供工业劳务活动的总价值量。包括三部分</w:t>
      </w:r>
      <w:r>
        <w:rPr>
          <w:rFonts w:ascii="仿宋_GB2312" w:hAnsi="仿宋_GB2312" w:eastAsia="仿宋_GB2312" w:cs="仿宋_GB2312"/>
          <w:color w:val="auto"/>
          <w:kern w:val="0"/>
          <w:sz w:val="32"/>
          <w:szCs w:val="32"/>
        </w:rPr>
        <w:t>:</w:t>
      </w:r>
      <w:r>
        <w:rPr>
          <w:rFonts w:hint="eastAsia" w:ascii="Times New Roman" w:hAnsi="Times New Roman" w:eastAsia="仿宋_GB2312" w:cs="Times New Roman"/>
          <w:color w:val="auto"/>
          <w:kern w:val="0"/>
          <w:sz w:val="32"/>
          <w:szCs w:val="32"/>
        </w:rPr>
        <w:t>生产的成品价值、对外加工费收入、自制半成品在制品期末期初差额价值。（市统计局）</w:t>
      </w:r>
    </w:p>
    <w:p>
      <w:pPr>
        <w:pStyle w:val="2"/>
        <w:spacing w:line="560" w:lineRule="exact"/>
        <w:ind w:firstLine="640"/>
        <w:jc w:val="both"/>
        <w:rPr>
          <w:rFonts w:ascii="黑体" w:hAnsi="黑体" w:eastAsia="黑体" w:cs="黑体"/>
          <w:color w:val="auto"/>
          <w:szCs w:val="32"/>
        </w:rPr>
      </w:pPr>
      <w:r>
        <w:rPr>
          <w:rFonts w:hint="eastAsia" w:ascii="黑体" w:hAnsi="黑体" w:eastAsia="黑体" w:cs="黑体"/>
          <w:color w:val="auto"/>
          <w:szCs w:val="32"/>
        </w:rPr>
        <w:t>六、综合能源消费量</w:t>
      </w:r>
    </w:p>
    <w:p>
      <w:pPr>
        <w:autoSpaceDE w:val="0"/>
        <w:autoSpaceDN w:val="0"/>
        <w:adjustRightInd w:val="0"/>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评价年度参评企业在生产活动和非生产活动中消费的能源总量</w:t>
      </w:r>
      <w:r>
        <w:rPr>
          <w:rFonts w:hint="eastAsia" w:ascii="Times New Roman" w:hAnsi="Times New Roman" w:eastAsia="仿宋_GB2312" w:cs="Times New Roman"/>
          <w:b/>
          <w:color w:val="auto"/>
          <w:sz w:val="32"/>
          <w:szCs w:val="32"/>
        </w:rPr>
        <w:t>（等价值）</w:t>
      </w:r>
      <w:r>
        <w:rPr>
          <w:rFonts w:hint="eastAsia" w:ascii="Times New Roman" w:hAnsi="Times New Roman" w:eastAsia="仿宋_GB2312" w:cs="Times New Roman"/>
          <w:color w:val="auto"/>
          <w:sz w:val="32"/>
          <w:szCs w:val="32"/>
        </w:rPr>
        <w:t>按规定的计算方法和单位分别折算成标准煤后的总和，包括工业生产活动中作为燃料、动力、原料、辅助材料使用的能源，生产工艺中使用的能源，用于能源加工转换的能源，非工业生产活动中使用的能源。（</w:t>
      </w:r>
      <w:r>
        <w:rPr>
          <w:rFonts w:hint="eastAsia" w:ascii="Times New Roman" w:hAnsi="Times New Roman" w:eastAsia="仿宋_GB2312" w:cs="Times New Roman"/>
          <w:color w:val="auto"/>
          <w:kern w:val="0"/>
          <w:sz w:val="32"/>
          <w:szCs w:val="32"/>
        </w:rPr>
        <w:t>市统计局</w:t>
      </w:r>
      <w:r>
        <w:rPr>
          <w:rFonts w:hint="eastAsia" w:ascii="Times New Roman" w:hAnsi="Times New Roman" w:eastAsia="仿宋_GB2312" w:cs="Times New Roman"/>
          <w:color w:val="auto"/>
          <w:sz w:val="32"/>
          <w:szCs w:val="32"/>
        </w:rPr>
        <w:t>）</w:t>
      </w:r>
    </w:p>
    <w:p>
      <w:pPr>
        <w:pStyle w:val="2"/>
        <w:spacing w:line="560" w:lineRule="exact"/>
        <w:ind w:firstLine="640"/>
        <w:jc w:val="both"/>
        <w:rPr>
          <w:rFonts w:ascii="黑体" w:hAnsi="黑体" w:eastAsia="黑体" w:cs="黑体"/>
          <w:color w:val="auto"/>
          <w:szCs w:val="32"/>
        </w:rPr>
      </w:pPr>
      <w:r>
        <w:rPr>
          <w:rFonts w:hint="eastAsia" w:ascii="黑体" w:hAnsi="黑体" w:eastAsia="黑体" w:cs="黑体"/>
          <w:color w:val="auto"/>
          <w:szCs w:val="32"/>
        </w:rPr>
        <w:t>七、研究与试验发展经费</w:t>
      </w:r>
    </w:p>
    <w:p>
      <w:pPr>
        <w:pStyle w:val="2"/>
        <w:spacing w:line="560" w:lineRule="exact"/>
        <w:ind w:firstLine="640"/>
        <w:jc w:val="both"/>
        <w:rPr>
          <w:rFonts w:ascii="Times New Roman" w:hAnsi="Times New Roman" w:eastAsia="仿宋_GB2312" w:cs="Times New Roman"/>
          <w:color w:val="auto"/>
          <w:kern w:val="2"/>
          <w:szCs w:val="32"/>
        </w:rPr>
      </w:pPr>
      <w:r>
        <w:rPr>
          <w:rFonts w:hint="eastAsia" w:ascii="Times New Roman" w:hAnsi="Times New Roman" w:eastAsia="仿宋_GB2312" w:cs="Times New Roman"/>
          <w:color w:val="auto"/>
          <w:szCs w:val="32"/>
        </w:rPr>
        <w:t>评价年度参评企业</w:t>
      </w:r>
      <w:r>
        <w:rPr>
          <w:rFonts w:hint="eastAsia" w:ascii="Times New Roman" w:hAnsi="Times New Roman" w:eastAsia="仿宋_GB2312" w:cs="Times New Roman"/>
          <w:color w:val="auto"/>
          <w:kern w:val="2"/>
          <w:szCs w:val="32"/>
        </w:rPr>
        <w:t>报告期内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有关研究开发辅助账中研究开发费用对应。（市统计局）</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八、营业收入</w:t>
      </w:r>
    </w:p>
    <w:p>
      <w:pPr>
        <w:snapToGrid w:val="0"/>
        <w:spacing w:line="560" w:lineRule="exact"/>
        <w:ind w:firstLine="623"/>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rPr>
        <w:t>评价年度参评企业</w:t>
      </w:r>
      <w:r>
        <w:rPr>
          <w:rFonts w:hint="eastAsia" w:ascii="Times New Roman" w:hAnsi="Times New Roman" w:eastAsia="仿宋_GB2312" w:cs="Times New Roman"/>
          <w:color w:val="auto"/>
          <w:kern w:val="0"/>
          <w:sz w:val="32"/>
          <w:szCs w:val="32"/>
        </w:rPr>
        <w:t>从事销售商品、提供劳务和让渡资产使用权等生产经营活动形成的经济利益流入，分为主营业务收入和其他业务收入。（市统计局）</w:t>
      </w:r>
    </w:p>
    <w:p>
      <w:pPr>
        <w:pStyle w:val="2"/>
        <w:spacing w:line="560" w:lineRule="exact"/>
        <w:ind w:firstLine="640"/>
        <w:jc w:val="both"/>
        <w:rPr>
          <w:rFonts w:ascii="黑体" w:hAnsi="黑体" w:eastAsia="黑体" w:cs="黑体"/>
          <w:color w:val="auto"/>
          <w:szCs w:val="32"/>
        </w:rPr>
      </w:pPr>
      <w:r>
        <w:rPr>
          <w:rFonts w:hint="eastAsia" w:ascii="黑体" w:hAnsi="黑体" w:eastAsia="黑体" w:cs="黑体"/>
          <w:color w:val="auto"/>
          <w:szCs w:val="32"/>
        </w:rPr>
        <w:t>九、污染物排放总当量</w:t>
      </w:r>
    </w:p>
    <w:p>
      <w:pPr>
        <w:spacing w:line="560" w:lineRule="exact"/>
        <w:ind w:firstLine="640" w:firstLineChars="200"/>
        <w:rPr>
          <w:color w:val="auto"/>
          <w:kern w:val="0"/>
        </w:rPr>
      </w:pPr>
      <w:r>
        <w:rPr>
          <w:rFonts w:hint="eastAsia" w:ascii="Times New Roman" w:hAnsi="Times New Roman" w:eastAsia="仿宋_GB2312" w:cs="Times New Roman"/>
          <w:color w:val="auto"/>
          <w:sz w:val="32"/>
          <w:szCs w:val="32"/>
        </w:rPr>
        <w:t>评价年度参评企业化学需氧量、氨氮、二氧化硫和氮氧化物四项主要污染物排放当量数的总和，无污染物排放量统计数据的以排污许可证统计污染物排放当量数。（市生态环境局）</w:t>
      </w:r>
    </w:p>
    <w:p>
      <w:pPr>
        <w:pStyle w:val="2"/>
        <w:spacing w:line="560" w:lineRule="exact"/>
        <w:ind w:firstLine="640"/>
        <w:jc w:val="both"/>
        <w:rPr>
          <w:rFonts w:ascii="黑体" w:hAnsi="黑体" w:eastAsia="黑体" w:cs="黑体"/>
          <w:color w:val="auto"/>
          <w:szCs w:val="32"/>
        </w:rPr>
      </w:pPr>
      <w:r>
        <w:rPr>
          <w:rFonts w:hint="eastAsia" w:ascii="黑体" w:hAnsi="黑体" w:eastAsia="黑体" w:cs="黑体"/>
          <w:color w:val="auto"/>
          <w:szCs w:val="32"/>
        </w:rPr>
        <w:t>十、企业参保人数</w:t>
      </w:r>
    </w:p>
    <w:p>
      <w:pPr>
        <w:spacing w:line="56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rPr>
        <w:t>评价年度参评企业</w:t>
      </w:r>
      <w:r>
        <w:rPr>
          <w:rFonts w:hint="eastAsia" w:ascii="Times New Roman" w:hAnsi="Times New Roman" w:eastAsia="仿宋_GB2312" w:cs="Times New Roman"/>
          <w:color w:val="auto"/>
          <w:kern w:val="0"/>
          <w:sz w:val="32"/>
          <w:szCs w:val="32"/>
        </w:rPr>
        <w:t>年末缴纳社会保险人数。（市人社局）</w:t>
      </w:r>
    </w:p>
    <w:p>
      <w:pPr>
        <w:autoSpaceDE w:val="0"/>
        <w:autoSpaceDN w:val="0"/>
        <w:adjustRightInd w:val="0"/>
        <w:spacing w:line="560" w:lineRule="exact"/>
        <w:ind w:firstLine="640" w:firstLineChars="20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十一、开发区（工业园区）评价范围</w:t>
      </w:r>
    </w:p>
    <w:p>
      <w:pPr>
        <w:pStyle w:val="2"/>
        <w:spacing w:line="560" w:lineRule="exact"/>
        <w:ind w:firstLine="640"/>
        <w:rPr>
          <w:rFonts w:ascii="Times New Roman" w:hAnsi="Times New Roman" w:eastAsia="仿宋_GB2312" w:cs="Times New Roman"/>
          <w:color w:val="auto"/>
          <w:kern w:val="2"/>
          <w:szCs w:val="32"/>
        </w:rPr>
      </w:pPr>
      <w:r>
        <w:rPr>
          <w:rFonts w:hint="eastAsia" w:ascii="Times New Roman" w:hAnsi="Times New Roman" w:eastAsia="仿宋_GB2312" w:cs="Times New Roman"/>
          <w:color w:val="auto"/>
          <w:kern w:val="2"/>
          <w:szCs w:val="32"/>
        </w:rPr>
        <w:t>自治区级及以上开发区（工业园区）批准范围按照《中国开发区审核公告目录》（</w:t>
      </w:r>
      <w:r>
        <w:rPr>
          <w:rFonts w:ascii="Times New Roman" w:hAnsi="Times New Roman" w:eastAsia="仿宋_GB2312" w:cs="Times New Roman"/>
          <w:color w:val="auto"/>
          <w:kern w:val="2"/>
          <w:szCs w:val="32"/>
        </w:rPr>
        <w:t>2018</w:t>
      </w:r>
      <w:r>
        <w:rPr>
          <w:rFonts w:hint="eastAsia" w:ascii="Times New Roman" w:hAnsi="Times New Roman" w:eastAsia="仿宋_GB2312" w:cs="Times New Roman"/>
          <w:color w:val="auto"/>
          <w:kern w:val="2"/>
          <w:szCs w:val="32"/>
        </w:rPr>
        <w:t>年版）确定的范围；自治区</w:t>
      </w:r>
      <w:r>
        <w:rPr>
          <w:rFonts w:ascii="Times New Roman" w:hAnsi="Times New Roman" w:eastAsia="仿宋_GB2312" w:cs="Times New Roman"/>
          <w:color w:val="auto"/>
          <w:kern w:val="2"/>
          <w:szCs w:val="32"/>
        </w:rPr>
        <w:t>A</w:t>
      </w:r>
      <w:r>
        <w:rPr>
          <w:rFonts w:hint="eastAsia" w:ascii="Times New Roman" w:hAnsi="Times New Roman" w:eastAsia="仿宋_GB2312" w:cs="Times New Roman"/>
          <w:color w:val="auto"/>
          <w:kern w:val="2"/>
          <w:szCs w:val="32"/>
        </w:rPr>
        <w:t>类、</w:t>
      </w:r>
      <w:r>
        <w:rPr>
          <w:rFonts w:ascii="Times New Roman" w:hAnsi="Times New Roman" w:eastAsia="仿宋_GB2312" w:cs="Times New Roman"/>
          <w:color w:val="auto"/>
          <w:kern w:val="2"/>
          <w:szCs w:val="32"/>
        </w:rPr>
        <w:t>B</w:t>
      </w:r>
      <w:r>
        <w:rPr>
          <w:rFonts w:hint="eastAsia" w:ascii="Times New Roman" w:hAnsi="Times New Roman" w:eastAsia="仿宋_GB2312" w:cs="Times New Roman"/>
          <w:color w:val="auto"/>
          <w:kern w:val="2"/>
          <w:szCs w:val="32"/>
        </w:rPr>
        <w:t>类产业园区实际管辖范围指实际行使管辖权限的范围。</w:t>
      </w:r>
    </w:p>
    <w:p>
      <w:pPr>
        <w:autoSpaceDE w:val="0"/>
        <w:autoSpaceDN w:val="0"/>
        <w:adjustRightInd w:val="0"/>
        <w:spacing w:line="560" w:lineRule="exact"/>
        <w:ind w:firstLine="640" w:firstLineChars="20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十二、开发区（工业园区）评价类型</w:t>
      </w:r>
    </w:p>
    <w:p>
      <w:pPr>
        <w:autoSpaceDE w:val="0"/>
        <w:autoSpaceDN w:val="0"/>
        <w:adjustRightInd w:val="0"/>
        <w:spacing w:line="56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开发区主区内工矿仓储用地占已建成城镇建设用地的比例大于</w:t>
      </w:r>
      <w:r>
        <w:rPr>
          <w:rFonts w:ascii="Times New Roman" w:hAnsi="Times New Roman" w:eastAsia="仿宋_GB2312" w:cs="Times New Roman"/>
          <w:color w:val="auto"/>
          <w:sz w:val="32"/>
          <w:szCs w:val="32"/>
        </w:rPr>
        <w:t>30%</w:t>
      </w:r>
      <w:r>
        <w:rPr>
          <w:rFonts w:hint="eastAsia" w:ascii="Times New Roman" w:hAnsi="Times New Roman" w:eastAsia="仿宋_GB2312" w:cs="Times New Roman"/>
          <w:color w:val="auto"/>
          <w:sz w:val="32"/>
          <w:szCs w:val="32"/>
        </w:rPr>
        <w:t>且住宅用地占已建成城镇建设用地的比例小于</w:t>
      </w:r>
      <w:r>
        <w:rPr>
          <w:rFonts w:ascii="Times New Roman" w:hAnsi="Times New Roman" w:eastAsia="仿宋_GB2312" w:cs="Times New Roman"/>
          <w:color w:val="auto"/>
          <w:sz w:val="32"/>
          <w:szCs w:val="32"/>
        </w:rPr>
        <w:t>25%</w:t>
      </w:r>
      <w:r>
        <w:rPr>
          <w:rFonts w:hint="eastAsia" w:ascii="Times New Roman" w:hAnsi="Times New Roman" w:eastAsia="仿宋_GB2312" w:cs="Times New Roman"/>
          <w:color w:val="auto"/>
          <w:sz w:val="32"/>
          <w:szCs w:val="32"/>
        </w:rPr>
        <w:t>的，划为工业主导型开发区。</w:t>
      </w:r>
    </w:p>
    <w:p>
      <w:pPr>
        <w:autoSpaceDE w:val="0"/>
        <w:autoSpaceDN w:val="0"/>
        <w:adjustRightInd w:val="0"/>
        <w:spacing w:line="560" w:lineRule="exact"/>
        <w:ind w:firstLine="640" w:firstLineChars="200"/>
        <w:jc w:val="left"/>
        <w:rPr>
          <w:rFonts w:ascii="Times New Roman" w:hAnsi="Times New Roman" w:eastAsia="仿宋_GB2312" w:cs="Times New Roman"/>
          <w:color w:val="auto"/>
          <w:szCs w:val="32"/>
        </w:rPr>
      </w:pPr>
      <w:r>
        <w:rPr>
          <w:rFonts w:hint="eastAsia" w:ascii="Times New Roman" w:hAnsi="Times New Roman" w:eastAsia="仿宋_GB2312" w:cs="Times New Roman"/>
          <w:color w:val="auto"/>
          <w:sz w:val="32"/>
          <w:szCs w:val="32"/>
        </w:rPr>
        <w:t>开发区主区内工矿仓储用地占已建成城镇建设用地的比例小于</w:t>
      </w:r>
      <w:r>
        <w:rPr>
          <w:rFonts w:ascii="Times New Roman" w:hAnsi="Times New Roman" w:eastAsia="仿宋_GB2312" w:cs="Times New Roman"/>
          <w:color w:val="auto"/>
          <w:sz w:val="32"/>
          <w:szCs w:val="32"/>
        </w:rPr>
        <w:t>30%</w:t>
      </w:r>
      <w:r>
        <w:rPr>
          <w:rFonts w:hint="eastAsia" w:ascii="Times New Roman" w:hAnsi="Times New Roman" w:eastAsia="仿宋_GB2312" w:cs="Times New Roman"/>
          <w:color w:val="auto"/>
          <w:sz w:val="32"/>
          <w:szCs w:val="32"/>
        </w:rPr>
        <w:t>或住宅用地占已建成城镇建设用地的比例大于</w:t>
      </w:r>
      <w:r>
        <w:rPr>
          <w:rFonts w:ascii="Times New Roman" w:hAnsi="Times New Roman" w:eastAsia="仿宋_GB2312" w:cs="Times New Roman"/>
          <w:color w:val="auto"/>
          <w:sz w:val="32"/>
          <w:szCs w:val="32"/>
        </w:rPr>
        <w:t>25%</w:t>
      </w:r>
      <w:r>
        <w:rPr>
          <w:rFonts w:hint="eastAsia" w:ascii="Times New Roman" w:hAnsi="Times New Roman" w:eastAsia="仿宋_GB2312" w:cs="Times New Roman"/>
          <w:color w:val="auto"/>
          <w:sz w:val="32"/>
          <w:szCs w:val="32"/>
        </w:rPr>
        <w:t>的，划为产城融合型开发区。</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252"/>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fH4xAgAAY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mDzLwlY/&#10;WB6hozzerg4BciaVoyi9EuhO3GD2Up+GdxKH+899in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MzXx+MQIAAGMEAAAOAAAAAAAAAAEAIAAAAB8BAABkcnMvZTJvRG9jLnhtbFBLBQYA&#10;AAAABgAGAFkBAADCBQ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zNDQxY2I4MzBhYTY4ZDZhYzJlZjQ3OGU2YzZlY2YifQ=="/>
  </w:docVars>
  <w:rsids>
    <w:rsidRoot w:val="00E7768D"/>
    <w:rsid w:val="00000831"/>
    <w:rsid w:val="00000C50"/>
    <w:rsid w:val="0000138A"/>
    <w:rsid w:val="00002F30"/>
    <w:rsid w:val="00003F0E"/>
    <w:rsid w:val="0000615D"/>
    <w:rsid w:val="000063C5"/>
    <w:rsid w:val="00007AD9"/>
    <w:rsid w:val="0001072B"/>
    <w:rsid w:val="00010D81"/>
    <w:rsid w:val="00011872"/>
    <w:rsid w:val="00011D04"/>
    <w:rsid w:val="00011D6A"/>
    <w:rsid w:val="00012475"/>
    <w:rsid w:val="000124CE"/>
    <w:rsid w:val="00012AB5"/>
    <w:rsid w:val="0001466D"/>
    <w:rsid w:val="00016F33"/>
    <w:rsid w:val="000176D8"/>
    <w:rsid w:val="00022C8F"/>
    <w:rsid w:val="00022DA7"/>
    <w:rsid w:val="00023243"/>
    <w:rsid w:val="0002458A"/>
    <w:rsid w:val="00024604"/>
    <w:rsid w:val="00024650"/>
    <w:rsid w:val="0002558C"/>
    <w:rsid w:val="000265B4"/>
    <w:rsid w:val="000267E1"/>
    <w:rsid w:val="00027533"/>
    <w:rsid w:val="00027B92"/>
    <w:rsid w:val="00031632"/>
    <w:rsid w:val="00031974"/>
    <w:rsid w:val="00032073"/>
    <w:rsid w:val="0003319F"/>
    <w:rsid w:val="0003329D"/>
    <w:rsid w:val="00033521"/>
    <w:rsid w:val="00033D91"/>
    <w:rsid w:val="0003565C"/>
    <w:rsid w:val="00040512"/>
    <w:rsid w:val="0004063D"/>
    <w:rsid w:val="000416EA"/>
    <w:rsid w:val="0004323D"/>
    <w:rsid w:val="00043536"/>
    <w:rsid w:val="000439D3"/>
    <w:rsid w:val="00044EE9"/>
    <w:rsid w:val="000460B0"/>
    <w:rsid w:val="00051444"/>
    <w:rsid w:val="000527F0"/>
    <w:rsid w:val="00053EC9"/>
    <w:rsid w:val="00055194"/>
    <w:rsid w:val="00055D00"/>
    <w:rsid w:val="00056C56"/>
    <w:rsid w:val="00064348"/>
    <w:rsid w:val="000643FF"/>
    <w:rsid w:val="0006452C"/>
    <w:rsid w:val="000652BF"/>
    <w:rsid w:val="00066C3F"/>
    <w:rsid w:val="00066DB7"/>
    <w:rsid w:val="00071374"/>
    <w:rsid w:val="00071F57"/>
    <w:rsid w:val="0007232A"/>
    <w:rsid w:val="00072DE7"/>
    <w:rsid w:val="00073313"/>
    <w:rsid w:val="00073C59"/>
    <w:rsid w:val="00073F3A"/>
    <w:rsid w:val="000758A3"/>
    <w:rsid w:val="00075C0C"/>
    <w:rsid w:val="00076017"/>
    <w:rsid w:val="00076593"/>
    <w:rsid w:val="00076E92"/>
    <w:rsid w:val="000779D7"/>
    <w:rsid w:val="000802C2"/>
    <w:rsid w:val="000808B1"/>
    <w:rsid w:val="00080E93"/>
    <w:rsid w:val="00080EB5"/>
    <w:rsid w:val="0008295E"/>
    <w:rsid w:val="00082E92"/>
    <w:rsid w:val="0008456E"/>
    <w:rsid w:val="000845A5"/>
    <w:rsid w:val="00085413"/>
    <w:rsid w:val="00085C2D"/>
    <w:rsid w:val="000863EB"/>
    <w:rsid w:val="00086447"/>
    <w:rsid w:val="0009210B"/>
    <w:rsid w:val="00092F0C"/>
    <w:rsid w:val="00092F6F"/>
    <w:rsid w:val="00093B35"/>
    <w:rsid w:val="00094C39"/>
    <w:rsid w:val="00095262"/>
    <w:rsid w:val="000968E3"/>
    <w:rsid w:val="00096FFC"/>
    <w:rsid w:val="0009727A"/>
    <w:rsid w:val="00097339"/>
    <w:rsid w:val="000A28EF"/>
    <w:rsid w:val="000A2A6C"/>
    <w:rsid w:val="000A3274"/>
    <w:rsid w:val="000A3C8B"/>
    <w:rsid w:val="000A3E37"/>
    <w:rsid w:val="000A3EDB"/>
    <w:rsid w:val="000A41B8"/>
    <w:rsid w:val="000A6BC5"/>
    <w:rsid w:val="000A6BDB"/>
    <w:rsid w:val="000A71CD"/>
    <w:rsid w:val="000A7BFF"/>
    <w:rsid w:val="000B21C4"/>
    <w:rsid w:val="000B23A2"/>
    <w:rsid w:val="000B2932"/>
    <w:rsid w:val="000B2ADA"/>
    <w:rsid w:val="000B3571"/>
    <w:rsid w:val="000B359B"/>
    <w:rsid w:val="000B3B12"/>
    <w:rsid w:val="000B458E"/>
    <w:rsid w:val="000B4B16"/>
    <w:rsid w:val="000B58ED"/>
    <w:rsid w:val="000B76D0"/>
    <w:rsid w:val="000C0F55"/>
    <w:rsid w:val="000C2B92"/>
    <w:rsid w:val="000C5168"/>
    <w:rsid w:val="000C60A3"/>
    <w:rsid w:val="000C61A6"/>
    <w:rsid w:val="000C69FE"/>
    <w:rsid w:val="000D05A5"/>
    <w:rsid w:val="000D1EF0"/>
    <w:rsid w:val="000D2175"/>
    <w:rsid w:val="000D256E"/>
    <w:rsid w:val="000D4380"/>
    <w:rsid w:val="000D5F80"/>
    <w:rsid w:val="000D743A"/>
    <w:rsid w:val="000E036A"/>
    <w:rsid w:val="000E1221"/>
    <w:rsid w:val="000E1A74"/>
    <w:rsid w:val="000E302E"/>
    <w:rsid w:val="000E33ED"/>
    <w:rsid w:val="000E3785"/>
    <w:rsid w:val="000E3866"/>
    <w:rsid w:val="000E3B87"/>
    <w:rsid w:val="000E5262"/>
    <w:rsid w:val="000E566E"/>
    <w:rsid w:val="000E773B"/>
    <w:rsid w:val="000E7BAB"/>
    <w:rsid w:val="000E7D5D"/>
    <w:rsid w:val="000F0744"/>
    <w:rsid w:val="000F3383"/>
    <w:rsid w:val="000F5132"/>
    <w:rsid w:val="000F557F"/>
    <w:rsid w:val="000F5931"/>
    <w:rsid w:val="000F6722"/>
    <w:rsid w:val="00101559"/>
    <w:rsid w:val="00101F1B"/>
    <w:rsid w:val="0010267B"/>
    <w:rsid w:val="00102B65"/>
    <w:rsid w:val="001030A2"/>
    <w:rsid w:val="001038BD"/>
    <w:rsid w:val="00103C27"/>
    <w:rsid w:val="00104368"/>
    <w:rsid w:val="00105358"/>
    <w:rsid w:val="0010538C"/>
    <w:rsid w:val="00107FE6"/>
    <w:rsid w:val="0011037C"/>
    <w:rsid w:val="0011049A"/>
    <w:rsid w:val="00110817"/>
    <w:rsid w:val="001116E4"/>
    <w:rsid w:val="00113029"/>
    <w:rsid w:val="001132BD"/>
    <w:rsid w:val="00113E1A"/>
    <w:rsid w:val="00113EF3"/>
    <w:rsid w:val="001144F8"/>
    <w:rsid w:val="00115776"/>
    <w:rsid w:val="00115851"/>
    <w:rsid w:val="00116340"/>
    <w:rsid w:val="0011641B"/>
    <w:rsid w:val="00117722"/>
    <w:rsid w:val="00117F5D"/>
    <w:rsid w:val="00120D08"/>
    <w:rsid w:val="001218E0"/>
    <w:rsid w:val="00121B5C"/>
    <w:rsid w:val="001222E6"/>
    <w:rsid w:val="0012267D"/>
    <w:rsid w:val="00122B2D"/>
    <w:rsid w:val="00124156"/>
    <w:rsid w:val="00124CF9"/>
    <w:rsid w:val="00124CFE"/>
    <w:rsid w:val="00125BDB"/>
    <w:rsid w:val="00125E73"/>
    <w:rsid w:val="001263A1"/>
    <w:rsid w:val="001269F7"/>
    <w:rsid w:val="00126DC6"/>
    <w:rsid w:val="0013055A"/>
    <w:rsid w:val="001320A9"/>
    <w:rsid w:val="001328F8"/>
    <w:rsid w:val="00132B43"/>
    <w:rsid w:val="0013395A"/>
    <w:rsid w:val="00136078"/>
    <w:rsid w:val="00136DEA"/>
    <w:rsid w:val="00137E0F"/>
    <w:rsid w:val="00137E8F"/>
    <w:rsid w:val="00141228"/>
    <w:rsid w:val="00141AB9"/>
    <w:rsid w:val="001420A5"/>
    <w:rsid w:val="00143CE3"/>
    <w:rsid w:val="0014418D"/>
    <w:rsid w:val="00144296"/>
    <w:rsid w:val="001444F8"/>
    <w:rsid w:val="001456BB"/>
    <w:rsid w:val="00147D05"/>
    <w:rsid w:val="001503CE"/>
    <w:rsid w:val="0015234B"/>
    <w:rsid w:val="00152E37"/>
    <w:rsid w:val="0015338A"/>
    <w:rsid w:val="00154118"/>
    <w:rsid w:val="00154D12"/>
    <w:rsid w:val="00154F6B"/>
    <w:rsid w:val="001554DC"/>
    <w:rsid w:val="001572E9"/>
    <w:rsid w:val="001575CC"/>
    <w:rsid w:val="00157E1D"/>
    <w:rsid w:val="00157F91"/>
    <w:rsid w:val="00160D01"/>
    <w:rsid w:val="00160E55"/>
    <w:rsid w:val="00161403"/>
    <w:rsid w:val="00161D5B"/>
    <w:rsid w:val="0016287C"/>
    <w:rsid w:val="00163CF6"/>
    <w:rsid w:val="001647C3"/>
    <w:rsid w:val="00164A60"/>
    <w:rsid w:val="00164DCA"/>
    <w:rsid w:val="00165100"/>
    <w:rsid w:val="00165976"/>
    <w:rsid w:val="00165CDA"/>
    <w:rsid w:val="001712F8"/>
    <w:rsid w:val="001725B8"/>
    <w:rsid w:val="001726C3"/>
    <w:rsid w:val="001735BB"/>
    <w:rsid w:val="0017460E"/>
    <w:rsid w:val="001747B4"/>
    <w:rsid w:val="001752F8"/>
    <w:rsid w:val="0017652A"/>
    <w:rsid w:val="00176772"/>
    <w:rsid w:val="00180C86"/>
    <w:rsid w:val="00180E7F"/>
    <w:rsid w:val="0018355E"/>
    <w:rsid w:val="00183654"/>
    <w:rsid w:val="001843F6"/>
    <w:rsid w:val="001857C3"/>
    <w:rsid w:val="00186781"/>
    <w:rsid w:val="00190369"/>
    <w:rsid w:val="00191A6C"/>
    <w:rsid w:val="0019397F"/>
    <w:rsid w:val="00193E76"/>
    <w:rsid w:val="001946BC"/>
    <w:rsid w:val="00194805"/>
    <w:rsid w:val="00195519"/>
    <w:rsid w:val="00196B81"/>
    <w:rsid w:val="00196DA7"/>
    <w:rsid w:val="00197133"/>
    <w:rsid w:val="001A0B6B"/>
    <w:rsid w:val="001A10DD"/>
    <w:rsid w:val="001A125E"/>
    <w:rsid w:val="001A188D"/>
    <w:rsid w:val="001A3E2C"/>
    <w:rsid w:val="001A5384"/>
    <w:rsid w:val="001A6835"/>
    <w:rsid w:val="001A78D3"/>
    <w:rsid w:val="001A7A07"/>
    <w:rsid w:val="001A7DD4"/>
    <w:rsid w:val="001A7FAA"/>
    <w:rsid w:val="001A7FF2"/>
    <w:rsid w:val="001B0327"/>
    <w:rsid w:val="001B0855"/>
    <w:rsid w:val="001B128B"/>
    <w:rsid w:val="001B18AF"/>
    <w:rsid w:val="001B24F8"/>
    <w:rsid w:val="001B2546"/>
    <w:rsid w:val="001B33E0"/>
    <w:rsid w:val="001B42D9"/>
    <w:rsid w:val="001B4BC2"/>
    <w:rsid w:val="001B4FBF"/>
    <w:rsid w:val="001B5295"/>
    <w:rsid w:val="001B7F22"/>
    <w:rsid w:val="001C00F1"/>
    <w:rsid w:val="001C2665"/>
    <w:rsid w:val="001C37F5"/>
    <w:rsid w:val="001C5745"/>
    <w:rsid w:val="001C5CCA"/>
    <w:rsid w:val="001C5D52"/>
    <w:rsid w:val="001C6C1C"/>
    <w:rsid w:val="001C6C83"/>
    <w:rsid w:val="001C7EBE"/>
    <w:rsid w:val="001D016A"/>
    <w:rsid w:val="001D1E00"/>
    <w:rsid w:val="001D48D8"/>
    <w:rsid w:val="001D5508"/>
    <w:rsid w:val="001D624E"/>
    <w:rsid w:val="001D708F"/>
    <w:rsid w:val="001D74CB"/>
    <w:rsid w:val="001E0C68"/>
    <w:rsid w:val="001E0E02"/>
    <w:rsid w:val="001E1ECA"/>
    <w:rsid w:val="001E34CA"/>
    <w:rsid w:val="001E3A24"/>
    <w:rsid w:val="001E3C28"/>
    <w:rsid w:val="001E4386"/>
    <w:rsid w:val="001E536E"/>
    <w:rsid w:val="001E6CB2"/>
    <w:rsid w:val="001E7103"/>
    <w:rsid w:val="001E72F7"/>
    <w:rsid w:val="001F0087"/>
    <w:rsid w:val="001F1732"/>
    <w:rsid w:val="001F27F6"/>
    <w:rsid w:val="001F4285"/>
    <w:rsid w:val="001F4F2A"/>
    <w:rsid w:val="001F672D"/>
    <w:rsid w:val="001F7796"/>
    <w:rsid w:val="002014EC"/>
    <w:rsid w:val="002017B8"/>
    <w:rsid w:val="00201EB6"/>
    <w:rsid w:val="00204CBD"/>
    <w:rsid w:val="0020544F"/>
    <w:rsid w:val="00205E78"/>
    <w:rsid w:val="002104A8"/>
    <w:rsid w:val="00210A97"/>
    <w:rsid w:val="00210E8B"/>
    <w:rsid w:val="00211713"/>
    <w:rsid w:val="002117D7"/>
    <w:rsid w:val="00211CC3"/>
    <w:rsid w:val="00212872"/>
    <w:rsid w:val="00212D14"/>
    <w:rsid w:val="00212DA9"/>
    <w:rsid w:val="00213E4E"/>
    <w:rsid w:val="00214823"/>
    <w:rsid w:val="00216B9A"/>
    <w:rsid w:val="00216DE6"/>
    <w:rsid w:val="0022069F"/>
    <w:rsid w:val="002207C7"/>
    <w:rsid w:val="0022151D"/>
    <w:rsid w:val="00222234"/>
    <w:rsid w:val="002224E3"/>
    <w:rsid w:val="00222860"/>
    <w:rsid w:val="002240BD"/>
    <w:rsid w:val="00224798"/>
    <w:rsid w:val="00224E08"/>
    <w:rsid w:val="00224F05"/>
    <w:rsid w:val="00227310"/>
    <w:rsid w:val="0022743C"/>
    <w:rsid w:val="00230E7E"/>
    <w:rsid w:val="00233E0B"/>
    <w:rsid w:val="00236B84"/>
    <w:rsid w:val="00237309"/>
    <w:rsid w:val="002400CD"/>
    <w:rsid w:val="00243D63"/>
    <w:rsid w:val="0024439F"/>
    <w:rsid w:val="00244CF9"/>
    <w:rsid w:val="0024578C"/>
    <w:rsid w:val="0024685C"/>
    <w:rsid w:val="00246B41"/>
    <w:rsid w:val="002477FA"/>
    <w:rsid w:val="0024792B"/>
    <w:rsid w:val="0025007E"/>
    <w:rsid w:val="002500DA"/>
    <w:rsid w:val="00252316"/>
    <w:rsid w:val="00254808"/>
    <w:rsid w:val="00255CEA"/>
    <w:rsid w:val="002566D5"/>
    <w:rsid w:val="00256981"/>
    <w:rsid w:val="00256D4D"/>
    <w:rsid w:val="00260059"/>
    <w:rsid w:val="00260DA3"/>
    <w:rsid w:val="00263979"/>
    <w:rsid w:val="002659D4"/>
    <w:rsid w:val="00266425"/>
    <w:rsid w:val="00266625"/>
    <w:rsid w:val="002666C3"/>
    <w:rsid w:val="00267EC2"/>
    <w:rsid w:val="0027004D"/>
    <w:rsid w:val="002707CC"/>
    <w:rsid w:val="00270874"/>
    <w:rsid w:val="00271331"/>
    <w:rsid w:val="00271353"/>
    <w:rsid w:val="00271FD1"/>
    <w:rsid w:val="00272C5E"/>
    <w:rsid w:val="00272DE4"/>
    <w:rsid w:val="00274D66"/>
    <w:rsid w:val="00275439"/>
    <w:rsid w:val="00275CBA"/>
    <w:rsid w:val="002773DE"/>
    <w:rsid w:val="002776F8"/>
    <w:rsid w:val="00280ED1"/>
    <w:rsid w:val="002821E9"/>
    <w:rsid w:val="0028221B"/>
    <w:rsid w:val="002824DD"/>
    <w:rsid w:val="00282A91"/>
    <w:rsid w:val="00282E29"/>
    <w:rsid w:val="002836DC"/>
    <w:rsid w:val="00283942"/>
    <w:rsid w:val="00284F5D"/>
    <w:rsid w:val="00286805"/>
    <w:rsid w:val="0028695D"/>
    <w:rsid w:val="00287B2C"/>
    <w:rsid w:val="002908D8"/>
    <w:rsid w:val="00290B09"/>
    <w:rsid w:val="00290CBD"/>
    <w:rsid w:val="00291BBD"/>
    <w:rsid w:val="00291D54"/>
    <w:rsid w:val="0029423C"/>
    <w:rsid w:val="00294649"/>
    <w:rsid w:val="002948FD"/>
    <w:rsid w:val="00295613"/>
    <w:rsid w:val="00296450"/>
    <w:rsid w:val="0029705B"/>
    <w:rsid w:val="002977FB"/>
    <w:rsid w:val="00297BAA"/>
    <w:rsid w:val="002A0831"/>
    <w:rsid w:val="002A22F6"/>
    <w:rsid w:val="002A3053"/>
    <w:rsid w:val="002A3935"/>
    <w:rsid w:val="002A443D"/>
    <w:rsid w:val="002A4E22"/>
    <w:rsid w:val="002A4ED1"/>
    <w:rsid w:val="002A59EA"/>
    <w:rsid w:val="002A693B"/>
    <w:rsid w:val="002A6D9A"/>
    <w:rsid w:val="002A7339"/>
    <w:rsid w:val="002A73DE"/>
    <w:rsid w:val="002A79E9"/>
    <w:rsid w:val="002B1E77"/>
    <w:rsid w:val="002B25C5"/>
    <w:rsid w:val="002B2904"/>
    <w:rsid w:val="002B324A"/>
    <w:rsid w:val="002B3AF9"/>
    <w:rsid w:val="002B3F9E"/>
    <w:rsid w:val="002B403E"/>
    <w:rsid w:val="002B44D7"/>
    <w:rsid w:val="002B499A"/>
    <w:rsid w:val="002B5C4C"/>
    <w:rsid w:val="002B66F0"/>
    <w:rsid w:val="002B7A1E"/>
    <w:rsid w:val="002C0228"/>
    <w:rsid w:val="002C0A25"/>
    <w:rsid w:val="002C0EA7"/>
    <w:rsid w:val="002C1220"/>
    <w:rsid w:val="002C1258"/>
    <w:rsid w:val="002C162E"/>
    <w:rsid w:val="002C19E7"/>
    <w:rsid w:val="002C23AF"/>
    <w:rsid w:val="002C271B"/>
    <w:rsid w:val="002C31B3"/>
    <w:rsid w:val="002C3534"/>
    <w:rsid w:val="002C36E8"/>
    <w:rsid w:val="002C433D"/>
    <w:rsid w:val="002C49EF"/>
    <w:rsid w:val="002C5AA3"/>
    <w:rsid w:val="002C5E77"/>
    <w:rsid w:val="002C5F99"/>
    <w:rsid w:val="002C6827"/>
    <w:rsid w:val="002C7DC8"/>
    <w:rsid w:val="002D2A65"/>
    <w:rsid w:val="002D2F8C"/>
    <w:rsid w:val="002D309C"/>
    <w:rsid w:val="002D3797"/>
    <w:rsid w:val="002D43E7"/>
    <w:rsid w:val="002D48C9"/>
    <w:rsid w:val="002D6E1F"/>
    <w:rsid w:val="002D7C3C"/>
    <w:rsid w:val="002E0BE0"/>
    <w:rsid w:val="002E2709"/>
    <w:rsid w:val="002E2EAB"/>
    <w:rsid w:val="002E30CB"/>
    <w:rsid w:val="002E3CD3"/>
    <w:rsid w:val="002E5D65"/>
    <w:rsid w:val="002E7808"/>
    <w:rsid w:val="002F00E7"/>
    <w:rsid w:val="002F0836"/>
    <w:rsid w:val="002F0945"/>
    <w:rsid w:val="002F0B72"/>
    <w:rsid w:val="002F15C9"/>
    <w:rsid w:val="002F1DD8"/>
    <w:rsid w:val="002F2F55"/>
    <w:rsid w:val="002F4153"/>
    <w:rsid w:val="002F4A23"/>
    <w:rsid w:val="002F4EF7"/>
    <w:rsid w:val="002F4F7B"/>
    <w:rsid w:val="002F59C3"/>
    <w:rsid w:val="002F5AAE"/>
    <w:rsid w:val="002F5B48"/>
    <w:rsid w:val="002F5FA7"/>
    <w:rsid w:val="002F6266"/>
    <w:rsid w:val="003000D0"/>
    <w:rsid w:val="003006D1"/>
    <w:rsid w:val="0030173E"/>
    <w:rsid w:val="0030229D"/>
    <w:rsid w:val="003029F4"/>
    <w:rsid w:val="00303529"/>
    <w:rsid w:val="00303A65"/>
    <w:rsid w:val="00305FE8"/>
    <w:rsid w:val="0030688B"/>
    <w:rsid w:val="00306E8D"/>
    <w:rsid w:val="00307086"/>
    <w:rsid w:val="003071F2"/>
    <w:rsid w:val="00307D1C"/>
    <w:rsid w:val="0031065E"/>
    <w:rsid w:val="003119D4"/>
    <w:rsid w:val="0031228C"/>
    <w:rsid w:val="003122E7"/>
    <w:rsid w:val="00312C03"/>
    <w:rsid w:val="00312F94"/>
    <w:rsid w:val="00313596"/>
    <w:rsid w:val="00313DDA"/>
    <w:rsid w:val="0031402A"/>
    <w:rsid w:val="00314377"/>
    <w:rsid w:val="00315240"/>
    <w:rsid w:val="00315377"/>
    <w:rsid w:val="00315B4A"/>
    <w:rsid w:val="00317025"/>
    <w:rsid w:val="00317329"/>
    <w:rsid w:val="00317B2E"/>
    <w:rsid w:val="003211AA"/>
    <w:rsid w:val="00321810"/>
    <w:rsid w:val="00322058"/>
    <w:rsid w:val="00322360"/>
    <w:rsid w:val="00322369"/>
    <w:rsid w:val="0032287A"/>
    <w:rsid w:val="00322AAD"/>
    <w:rsid w:val="00322FF3"/>
    <w:rsid w:val="00323451"/>
    <w:rsid w:val="00324A2A"/>
    <w:rsid w:val="00326C00"/>
    <w:rsid w:val="00326F14"/>
    <w:rsid w:val="003274E8"/>
    <w:rsid w:val="003278B1"/>
    <w:rsid w:val="003278D8"/>
    <w:rsid w:val="00331316"/>
    <w:rsid w:val="00331345"/>
    <w:rsid w:val="00331E48"/>
    <w:rsid w:val="00334017"/>
    <w:rsid w:val="00335137"/>
    <w:rsid w:val="00335808"/>
    <w:rsid w:val="003369AC"/>
    <w:rsid w:val="00336EBA"/>
    <w:rsid w:val="0033759F"/>
    <w:rsid w:val="00341212"/>
    <w:rsid w:val="0034402D"/>
    <w:rsid w:val="00344279"/>
    <w:rsid w:val="00344D99"/>
    <w:rsid w:val="003451B3"/>
    <w:rsid w:val="00345F70"/>
    <w:rsid w:val="00346D92"/>
    <w:rsid w:val="00347C33"/>
    <w:rsid w:val="00347DCA"/>
    <w:rsid w:val="00347F51"/>
    <w:rsid w:val="00350FB9"/>
    <w:rsid w:val="00351175"/>
    <w:rsid w:val="00351D7B"/>
    <w:rsid w:val="0035224A"/>
    <w:rsid w:val="00352F5B"/>
    <w:rsid w:val="00353367"/>
    <w:rsid w:val="00353C85"/>
    <w:rsid w:val="00354A82"/>
    <w:rsid w:val="003566AB"/>
    <w:rsid w:val="00357AE3"/>
    <w:rsid w:val="00360079"/>
    <w:rsid w:val="003601C8"/>
    <w:rsid w:val="00360DA4"/>
    <w:rsid w:val="003611E2"/>
    <w:rsid w:val="00361B49"/>
    <w:rsid w:val="0036244D"/>
    <w:rsid w:val="00362578"/>
    <w:rsid w:val="003626F5"/>
    <w:rsid w:val="00362F20"/>
    <w:rsid w:val="00364205"/>
    <w:rsid w:val="00364344"/>
    <w:rsid w:val="00364371"/>
    <w:rsid w:val="00364F53"/>
    <w:rsid w:val="00365710"/>
    <w:rsid w:val="00365BE4"/>
    <w:rsid w:val="00366065"/>
    <w:rsid w:val="0036636C"/>
    <w:rsid w:val="00367EC2"/>
    <w:rsid w:val="00370D67"/>
    <w:rsid w:val="003712C2"/>
    <w:rsid w:val="003720DE"/>
    <w:rsid w:val="003724E5"/>
    <w:rsid w:val="00372DBA"/>
    <w:rsid w:val="00373024"/>
    <w:rsid w:val="003735B4"/>
    <w:rsid w:val="00373EBA"/>
    <w:rsid w:val="003758EF"/>
    <w:rsid w:val="00376FC3"/>
    <w:rsid w:val="00377636"/>
    <w:rsid w:val="00382978"/>
    <w:rsid w:val="0038435D"/>
    <w:rsid w:val="003846F6"/>
    <w:rsid w:val="00384B9A"/>
    <w:rsid w:val="0038577D"/>
    <w:rsid w:val="003858CC"/>
    <w:rsid w:val="00385F3D"/>
    <w:rsid w:val="00385F4D"/>
    <w:rsid w:val="00390D7D"/>
    <w:rsid w:val="0039198C"/>
    <w:rsid w:val="00391BB6"/>
    <w:rsid w:val="003930EF"/>
    <w:rsid w:val="00393A22"/>
    <w:rsid w:val="00393AB6"/>
    <w:rsid w:val="00394064"/>
    <w:rsid w:val="003942FA"/>
    <w:rsid w:val="0039499F"/>
    <w:rsid w:val="00394CBC"/>
    <w:rsid w:val="00396889"/>
    <w:rsid w:val="003969BA"/>
    <w:rsid w:val="00397404"/>
    <w:rsid w:val="003974E5"/>
    <w:rsid w:val="003975D0"/>
    <w:rsid w:val="00397C2A"/>
    <w:rsid w:val="003A251C"/>
    <w:rsid w:val="003A2713"/>
    <w:rsid w:val="003A3ABC"/>
    <w:rsid w:val="003A3CA2"/>
    <w:rsid w:val="003A3EAE"/>
    <w:rsid w:val="003A693D"/>
    <w:rsid w:val="003A71E4"/>
    <w:rsid w:val="003B035D"/>
    <w:rsid w:val="003B1B7E"/>
    <w:rsid w:val="003B1E25"/>
    <w:rsid w:val="003B22EA"/>
    <w:rsid w:val="003B2474"/>
    <w:rsid w:val="003B34B8"/>
    <w:rsid w:val="003B521F"/>
    <w:rsid w:val="003B5963"/>
    <w:rsid w:val="003B6E34"/>
    <w:rsid w:val="003B78D5"/>
    <w:rsid w:val="003B79F9"/>
    <w:rsid w:val="003B7AD3"/>
    <w:rsid w:val="003C0A45"/>
    <w:rsid w:val="003C0E24"/>
    <w:rsid w:val="003C2AA6"/>
    <w:rsid w:val="003C5EF2"/>
    <w:rsid w:val="003C665F"/>
    <w:rsid w:val="003C70EA"/>
    <w:rsid w:val="003D05F5"/>
    <w:rsid w:val="003D11CF"/>
    <w:rsid w:val="003D4227"/>
    <w:rsid w:val="003D4279"/>
    <w:rsid w:val="003D6514"/>
    <w:rsid w:val="003D7499"/>
    <w:rsid w:val="003E1F47"/>
    <w:rsid w:val="003E3F08"/>
    <w:rsid w:val="003E4EC5"/>
    <w:rsid w:val="003E59F3"/>
    <w:rsid w:val="003E5A52"/>
    <w:rsid w:val="003E608B"/>
    <w:rsid w:val="003E7D06"/>
    <w:rsid w:val="003E7EC9"/>
    <w:rsid w:val="003F0588"/>
    <w:rsid w:val="003F0F35"/>
    <w:rsid w:val="003F1809"/>
    <w:rsid w:val="003F1FF7"/>
    <w:rsid w:val="003F2481"/>
    <w:rsid w:val="003F577F"/>
    <w:rsid w:val="003F5B5F"/>
    <w:rsid w:val="003F6580"/>
    <w:rsid w:val="003F70C0"/>
    <w:rsid w:val="003F7CFC"/>
    <w:rsid w:val="003F7EB5"/>
    <w:rsid w:val="00400662"/>
    <w:rsid w:val="00400925"/>
    <w:rsid w:val="00400954"/>
    <w:rsid w:val="00401D47"/>
    <w:rsid w:val="00402DFC"/>
    <w:rsid w:val="00403675"/>
    <w:rsid w:val="004070EF"/>
    <w:rsid w:val="00407B5F"/>
    <w:rsid w:val="00407C90"/>
    <w:rsid w:val="0041033E"/>
    <w:rsid w:val="004107A7"/>
    <w:rsid w:val="00411F6F"/>
    <w:rsid w:val="0041252C"/>
    <w:rsid w:val="0041301A"/>
    <w:rsid w:val="00414933"/>
    <w:rsid w:val="004152E6"/>
    <w:rsid w:val="004166BB"/>
    <w:rsid w:val="00420557"/>
    <w:rsid w:val="00420BAA"/>
    <w:rsid w:val="004211AC"/>
    <w:rsid w:val="004213AD"/>
    <w:rsid w:val="004240D4"/>
    <w:rsid w:val="00426B12"/>
    <w:rsid w:val="00427C36"/>
    <w:rsid w:val="00427DD6"/>
    <w:rsid w:val="004309FF"/>
    <w:rsid w:val="0043135F"/>
    <w:rsid w:val="00432110"/>
    <w:rsid w:val="00432444"/>
    <w:rsid w:val="00432634"/>
    <w:rsid w:val="004331C1"/>
    <w:rsid w:val="004332FE"/>
    <w:rsid w:val="00433E22"/>
    <w:rsid w:val="00435C07"/>
    <w:rsid w:val="004368EF"/>
    <w:rsid w:val="00437816"/>
    <w:rsid w:val="0044066C"/>
    <w:rsid w:val="004407D8"/>
    <w:rsid w:val="00441886"/>
    <w:rsid w:val="00441BB1"/>
    <w:rsid w:val="00441BCB"/>
    <w:rsid w:val="00442667"/>
    <w:rsid w:val="00442FB9"/>
    <w:rsid w:val="004435F4"/>
    <w:rsid w:val="0044482E"/>
    <w:rsid w:val="004472E0"/>
    <w:rsid w:val="00447D37"/>
    <w:rsid w:val="0045054C"/>
    <w:rsid w:val="00451681"/>
    <w:rsid w:val="0045175C"/>
    <w:rsid w:val="00451F60"/>
    <w:rsid w:val="004522F7"/>
    <w:rsid w:val="00453744"/>
    <w:rsid w:val="004543F3"/>
    <w:rsid w:val="00454634"/>
    <w:rsid w:val="00454B37"/>
    <w:rsid w:val="00454BBB"/>
    <w:rsid w:val="004577A6"/>
    <w:rsid w:val="00457CCC"/>
    <w:rsid w:val="004618CB"/>
    <w:rsid w:val="004627C3"/>
    <w:rsid w:val="00464AF5"/>
    <w:rsid w:val="00465E4B"/>
    <w:rsid w:val="00466648"/>
    <w:rsid w:val="00466C35"/>
    <w:rsid w:val="00466FC1"/>
    <w:rsid w:val="004670BE"/>
    <w:rsid w:val="00467D81"/>
    <w:rsid w:val="0047250A"/>
    <w:rsid w:val="00473DFB"/>
    <w:rsid w:val="004748F8"/>
    <w:rsid w:val="00474F74"/>
    <w:rsid w:val="0047568F"/>
    <w:rsid w:val="00476A9C"/>
    <w:rsid w:val="0048000C"/>
    <w:rsid w:val="004802D6"/>
    <w:rsid w:val="00480EF1"/>
    <w:rsid w:val="00481F00"/>
    <w:rsid w:val="00482277"/>
    <w:rsid w:val="00482E02"/>
    <w:rsid w:val="0048366D"/>
    <w:rsid w:val="00483A75"/>
    <w:rsid w:val="0048670F"/>
    <w:rsid w:val="00487C33"/>
    <w:rsid w:val="00487F20"/>
    <w:rsid w:val="00490746"/>
    <w:rsid w:val="00490D63"/>
    <w:rsid w:val="00492147"/>
    <w:rsid w:val="0049225D"/>
    <w:rsid w:val="00492694"/>
    <w:rsid w:val="00492E36"/>
    <w:rsid w:val="00492E49"/>
    <w:rsid w:val="0049436D"/>
    <w:rsid w:val="00494B64"/>
    <w:rsid w:val="004963CB"/>
    <w:rsid w:val="00497716"/>
    <w:rsid w:val="00497CC4"/>
    <w:rsid w:val="004A0152"/>
    <w:rsid w:val="004A0264"/>
    <w:rsid w:val="004A12FE"/>
    <w:rsid w:val="004A24B9"/>
    <w:rsid w:val="004A25E3"/>
    <w:rsid w:val="004A4E39"/>
    <w:rsid w:val="004A4F12"/>
    <w:rsid w:val="004A50FF"/>
    <w:rsid w:val="004A59CC"/>
    <w:rsid w:val="004A65F9"/>
    <w:rsid w:val="004A7469"/>
    <w:rsid w:val="004B025F"/>
    <w:rsid w:val="004B0F5B"/>
    <w:rsid w:val="004B203B"/>
    <w:rsid w:val="004B2668"/>
    <w:rsid w:val="004B2821"/>
    <w:rsid w:val="004B2A12"/>
    <w:rsid w:val="004B2DB5"/>
    <w:rsid w:val="004B2F59"/>
    <w:rsid w:val="004B5B03"/>
    <w:rsid w:val="004B5B89"/>
    <w:rsid w:val="004B5BDD"/>
    <w:rsid w:val="004B623C"/>
    <w:rsid w:val="004B6266"/>
    <w:rsid w:val="004B682B"/>
    <w:rsid w:val="004B6A87"/>
    <w:rsid w:val="004B6C92"/>
    <w:rsid w:val="004B7AA2"/>
    <w:rsid w:val="004C3DB4"/>
    <w:rsid w:val="004C44A2"/>
    <w:rsid w:val="004C47BA"/>
    <w:rsid w:val="004C4C41"/>
    <w:rsid w:val="004C5289"/>
    <w:rsid w:val="004C5453"/>
    <w:rsid w:val="004C5E05"/>
    <w:rsid w:val="004C656F"/>
    <w:rsid w:val="004D10EF"/>
    <w:rsid w:val="004D23AA"/>
    <w:rsid w:val="004D23B9"/>
    <w:rsid w:val="004D278B"/>
    <w:rsid w:val="004D2944"/>
    <w:rsid w:val="004D3724"/>
    <w:rsid w:val="004D3EE4"/>
    <w:rsid w:val="004D463A"/>
    <w:rsid w:val="004D49B3"/>
    <w:rsid w:val="004D55B8"/>
    <w:rsid w:val="004E086B"/>
    <w:rsid w:val="004E200E"/>
    <w:rsid w:val="004E3158"/>
    <w:rsid w:val="004E3E75"/>
    <w:rsid w:val="004E45C3"/>
    <w:rsid w:val="004E56FA"/>
    <w:rsid w:val="004E571F"/>
    <w:rsid w:val="004E65D2"/>
    <w:rsid w:val="004E6F6C"/>
    <w:rsid w:val="004E6F76"/>
    <w:rsid w:val="004F0BCF"/>
    <w:rsid w:val="004F23FD"/>
    <w:rsid w:val="004F24F8"/>
    <w:rsid w:val="004F2F28"/>
    <w:rsid w:val="004F316F"/>
    <w:rsid w:val="004F466B"/>
    <w:rsid w:val="004F46EB"/>
    <w:rsid w:val="004F52BA"/>
    <w:rsid w:val="004F5FCC"/>
    <w:rsid w:val="004F640F"/>
    <w:rsid w:val="004F690D"/>
    <w:rsid w:val="004F7454"/>
    <w:rsid w:val="004F754D"/>
    <w:rsid w:val="005017D9"/>
    <w:rsid w:val="005019CC"/>
    <w:rsid w:val="005019E1"/>
    <w:rsid w:val="00502FE9"/>
    <w:rsid w:val="00503BFF"/>
    <w:rsid w:val="00505010"/>
    <w:rsid w:val="005050FB"/>
    <w:rsid w:val="00505AE7"/>
    <w:rsid w:val="00505BA0"/>
    <w:rsid w:val="00506020"/>
    <w:rsid w:val="005062A0"/>
    <w:rsid w:val="005062ED"/>
    <w:rsid w:val="00507A89"/>
    <w:rsid w:val="005115AD"/>
    <w:rsid w:val="00511621"/>
    <w:rsid w:val="00511D84"/>
    <w:rsid w:val="00512CEC"/>
    <w:rsid w:val="00513A11"/>
    <w:rsid w:val="0051417A"/>
    <w:rsid w:val="00515714"/>
    <w:rsid w:val="00515C29"/>
    <w:rsid w:val="00516A39"/>
    <w:rsid w:val="00522D0D"/>
    <w:rsid w:val="0052319F"/>
    <w:rsid w:val="00523DEC"/>
    <w:rsid w:val="00524323"/>
    <w:rsid w:val="0052491C"/>
    <w:rsid w:val="00524EA7"/>
    <w:rsid w:val="00524F41"/>
    <w:rsid w:val="00525449"/>
    <w:rsid w:val="0052560D"/>
    <w:rsid w:val="00530B31"/>
    <w:rsid w:val="00530DC1"/>
    <w:rsid w:val="00530DD3"/>
    <w:rsid w:val="0053382B"/>
    <w:rsid w:val="00533B97"/>
    <w:rsid w:val="00533F6D"/>
    <w:rsid w:val="00535ACA"/>
    <w:rsid w:val="00535D9A"/>
    <w:rsid w:val="00536345"/>
    <w:rsid w:val="0053662E"/>
    <w:rsid w:val="005366B5"/>
    <w:rsid w:val="00541B4F"/>
    <w:rsid w:val="00543315"/>
    <w:rsid w:val="00544909"/>
    <w:rsid w:val="0054678D"/>
    <w:rsid w:val="00546851"/>
    <w:rsid w:val="00550BFF"/>
    <w:rsid w:val="00551A28"/>
    <w:rsid w:val="00551F8D"/>
    <w:rsid w:val="005523E8"/>
    <w:rsid w:val="00553A7C"/>
    <w:rsid w:val="00554353"/>
    <w:rsid w:val="00554E62"/>
    <w:rsid w:val="00555DE7"/>
    <w:rsid w:val="005564C6"/>
    <w:rsid w:val="005568B8"/>
    <w:rsid w:val="00557981"/>
    <w:rsid w:val="00557988"/>
    <w:rsid w:val="00560542"/>
    <w:rsid w:val="0056099D"/>
    <w:rsid w:val="0056197D"/>
    <w:rsid w:val="0056288E"/>
    <w:rsid w:val="00562AF1"/>
    <w:rsid w:val="00562C52"/>
    <w:rsid w:val="005634E2"/>
    <w:rsid w:val="005642C0"/>
    <w:rsid w:val="0056529C"/>
    <w:rsid w:val="0056568B"/>
    <w:rsid w:val="00567402"/>
    <w:rsid w:val="00567A82"/>
    <w:rsid w:val="005700DC"/>
    <w:rsid w:val="00572B7D"/>
    <w:rsid w:val="0057305B"/>
    <w:rsid w:val="00573D2A"/>
    <w:rsid w:val="00574737"/>
    <w:rsid w:val="00574D5A"/>
    <w:rsid w:val="0057521F"/>
    <w:rsid w:val="005755AA"/>
    <w:rsid w:val="00580698"/>
    <w:rsid w:val="00581415"/>
    <w:rsid w:val="00581CA2"/>
    <w:rsid w:val="00582A10"/>
    <w:rsid w:val="00583211"/>
    <w:rsid w:val="00583637"/>
    <w:rsid w:val="005837E8"/>
    <w:rsid w:val="0058497F"/>
    <w:rsid w:val="005859E9"/>
    <w:rsid w:val="00585D5C"/>
    <w:rsid w:val="00587451"/>
    <w:rsid w:val="005915ED"/>
    <w:rsid w:val="005926FB"/>
    <w:rsid w:val="00592910"/>
    <w:rsid w:val="00594815"/>
    <w:rsid w:val="005950BA"/>
    <w:rsid w:val="00595378"/>
    <w:rsid w:val="0059544B"/>
    <w:rsid w:val="00595ADD"/>
    <w:rsid w:val="005961AD"/>
    <w:rsid w:val="0059644F"/>
    <w:rsid w:val="005965FF"/>
    <w:rsid w:val="00596E34"/>
    <w:rsid w:val="00597B1A"/>
    <w:rsid w:val="005A1A91"/>
    <w:rsid w:val="005A1AC1"/>
    <w:rsid w:val="005A248A"/>
    <w:rsid w:val="005A403C"/>
    <w:rsid w:val="005A4821"/>
    <w:rsid w:val="005A4DC2"/>
    <w:rsid w:val="005A53D6"/>
    <w:rsid w:val="005A578D"/>
    <w:rsid w:val="005A6E01"/>
    <w:rsid w:val="005A7314"/>
    <w:rsid w:val="005B0550"/>
    <w:rsid w:val="005B1A75"/>
    <w:rsid w:val="005B2E0E"/>
    <w:rsid w:val="005B3FC7"/>
    <w:rsid w:val="005B42F0"/>
    <w:rsid w:val="005B4759"/>
    <w:rsid w:val="005B4B31"/>
    <w:rsid w:val="005B4E5F"/>
    <w:rsid w:val="005B6628"/>
    <w:rsid w:val="005B66F6"/>
    <w:rsid w:val="005B6DAC"/>
    <w:rsid w:val="005C02B5"/>
    <w:rsid w:val="005C05CC"/>
    <w:rsid w:val="005C2BCC"/>
    <w:rsid w:val="005C3758"/>
    <w:rsid w:val="005C4DF1"/>
    <w:rsid w:val="005C5059"/>
    <w:rsid w:val="005C51AB"/>
    <w:rsid w:val="005C5EAB"/>
    <w:rsid w:val="005C6985"/>
    <w:rsid w:val="005C6DFC"/>
    <w:rsid w:val="005C757D"/>
    <w:rsid w:val="005D130A"/>
    <w:rsid w:val="005D32E0"/>
    <w:rsid w:val="005D4A93"/>
    <w:rsid w:val="005D52B7"/>
    <w:rsid w:val="005D53BC"/>
    <w:rsid w:val="005D560E"/>
    <w:rsid w:val="005D6BAD"/>
    <w:rsid w:val="005D7010"/>
    <w:rsid w:val="005D766C"/>
    <w:rsid w:val="005D7775"/>
    <w:rsid w:val="005E1F39"/>
    <w:rsid w:val="005E243B"/>
    <w:rsid w:val="005E2709"/>
    <w:rsid w:val="005E346B"/>
    <w:rsid w:val="005E3A02"/>
    <w:rsid w:val="005E3C56"/>
    <w:rsid w:val="005E3F9E"/>
    <w:rsid w:val="005E57AE"/>
    <w:rsid w:val="005E7FC7"/>
    <w:rsid w:val="005F070D"/>
    <w:rsid w:val="005F3783"/>
    <w:rsid w:val="005F3F2B"/>
    <w:rsid w:val="005F5A23"/>
    <w:rsid w:val="005F7090"/>
    <w:rsid w:val="005F7281"/>
    <w:rsid w:val="005F7452"/>
    <w:rsid w:val="005F75BF"/>
    <w:rsid w:val="005F77D5"/>
    <w:rsid w:val="005F7CA1"/>
    <w:rsid w:val="00601AED"/>
    <w:rsid w:val="00603D1F"/>
    <w:rsid w:val="00604F6F"/>
    <w:rsid w:val="00606BE9"/>
    <w:rsid w:val="00607F0F"/>
    <w:rsid w:val="00611B70"/>
    <w:rsid w:val="00611CDD"/>
    <w:rsid w:val="0061291C"/>
    <w:rsid w:val="00612A6C"/>
    <w:rsid w:val="00613055"/>
    <w:rsid w:val="0061319C"/>
    <w:rsid w:val="00613914"/>
    <w:rsid w:val="00614325"/>
    <w:rsid w:val="00616667"/>
    <w:rsid w:val="00622808"/>
    <w:rsid w:val="0062458B"/>
    <w:rsid w:val="00624912"/>
    <w:rsid w:val="00624935"/>
    <w:rsid w:val="00624BA1"/>
    <w:rsid w:val="00625805"/>
    <w:rsid w:val="0062778D"/>
    <w:rsid w:val="00630D04"/>
    <w:rsid w:val="006312BD"/>
    <w:rsid w:val="006312EA"/>
    <w:rsid w:val="006327C4"/>
    <w:rsid w:val="0063302E"/>
    <w:rsid w:val="00634155"/>
    <w:rsid w:val="00634E56"/>
    <w:rsid w:val="00635B14"/>
    <w:rsid w:val="00635BD4"/>
    <w:rsid w:val="00635E07"/>
    <w:rsid w:val="00637838"/>
    <w:rsid w:val="00637977"/>
    <w:rsid w:val="00640381"/>
    <w:rsid w:val="006403B9"/>
    <w:rsid w:val="0064072A"/>
    <w:rsid w:val="006425D6"/>
    <w:rsid w:val="00643044"/>
    <w:rsid w:val="006435AA"/>
    <w:rsid w:val="00643C5E"/>
    <w:rsid w:val="00644716"/>
    <w:rsid w:val="00644A5E"/>
    <w:rsid w:val="00645B22"/>
    <w:rsid w:val="006462D7"/>
    <w:rsid w:val="006469BE"/>
    <w:rsid w:val="00646F08"/>
    <w:rsid w:val="00647655"/>
    <w:rsid w:val="006507EB"/>
    <w:rsid w:val="00651179"/>
    <w:rsid w:val="0065292D"/>
    <w:rsid w:val="006542E5"/>
    <w:rsid w:val="00654760"/>
    <w:rsid w:val="00656190"/>
    <w:rsid w:val="00656360"/>
    <w:rsid w:val="00656CB8"/>
    <w:rsid w:val="00657E56"/>
    <w:rsid w:val="00657EC5"/>
    <w:rsid w:val="00657F97"/>
    <w:rsid w:val="00660459"/>
    <w:rsid w:val="0066066E"/>
    <w:rsid w:val="0066070F"/>
    <w:rsid w:val="00661152"/>
    <w:rsid w:val="00663103"/>
    <w:rsid w:val="00663710"/>
    <w:rsid w:val="006637C8"/>
    <w:rsid w:val="006647DC"/>
    <w:rsid w:val="00665A19"/>
    <w:rsid w:val="00667C2B"/>
    <w:rsid w:val="00667CD7"/>
    <w:rsid w:val="00667E18"/>
    <w:rsid w:val="00670412"/>
    <w:rsid w:val="00670868"/>
    <w:rsid w:val="00671106"/>
    <w:rsid w:val="00671400"/>
    <w:rsid w:val="00671E5D"/>
    <w:rsid w:val="00671FDE"/>
    <w:rsid w:val="00672022"/>
    <w:rsid w:val="00672816"/>
    <w:rsid w:val="00672DF1"/>
    <w:rsid w:val="00672E79"/>
    <w:rsid w:val="00673E70"/>
    <w:rsid w:val="00674CF2"/>
    <w:rsid w:val="00675414"/>
    <w:rsid w:val="00675991"/>
    <w:rsid w:val="00676B59"/>
    <w:rsid w:val="00677DE2"/>
    <w:rsid w:val="006828B0"/>
    <w:rsid w:val="00682DC9"/>
    <w:rsid w:val="00682F61"/>
    <w:rsid w:val="00683791"/>
    <w:rsid w:val="00684114"/>
    <w:rsid w:val="00684625"/>
    <w:rsid w:val="0068522C"/>
    <w:rsid w:val="00685618"/>
    <w:rsid w:val="00685A96"/>
    <w:rsid w:val="00686F2A"/>
    <w:rsid w:val="006876DF"/>
    <w:rsid w:val="00691A47"/>
    <w:rsid w:val="00693330"/>
    <w:rsid w:val="0069490A"/>
    <w:rsid w:val="006956F0"/>
    <w:rsid w:val="00695D45"/>
    <w:rsid w:val="006A03BE"/>
    <w:rsid w:val="006A083B"/>
    <w:rsid w:val="006A084E"/>
    <w:rsid w:val="006A23C2"/>
    <w:rsid w:val="006A3EC1"/>
    <w:rsid w:val="006A3FB9"/>
    <w:rsid w:val="006A5CBD"/>
    <w:rsid w:val="006A60CC"/>
    <w:rsid w:val="006A61EB"/>
    <w:rsid w:val="006A6EAC"/>
    <w:rsid w:val="006A73ED"/>
    <w:rsid w:val="006A7523"/>
    <w:rsid w:val="006B047F"/>
    <w:rsid w:val="006B3646"/>
    <w:rsid w:val="006B37FA"/>
    <w:rsid w:val="006B643E"/>
    <w:rsid w:val="006B797A"/>
    <w:rsid w:val="006B7B34"/>
    <w:rsid w:val="006B7D2C"/>
    <w:rsid w:val="006C0612"/>
    <w:rsid w:val="006C0829"/>
    <w:rsid w:val="006C0994"/>
    <w:rsid w:val="006C3E3C"/>
    <w:rsid w:val="006C3EB9"/>
    <w:rsid w:val="006C6D0E"/>
    <w:rsid w:val="006C6EA3"/>
    <w:rsid w:val="006C7071"/>
    <w:rsid w:val="006C7FE1"/>
    <w:rsid w:val="006D0013"/>
    <w:rsid w:val="006D0950"/>
    <w:rsid w:val="006D0CD7"/>
    <w:rsid w:val="006D178C"/>
    <w:rsid w:val="006D2631"/>
    <w:rsid w:val="006D3367"/>
    <w:rsid w:val="006D4078"/>
    <w:rsid w:val="006D425C"/>
    <w:rsid w:val="006D4EB4"/>
    <w:rsid w:val="006D7833"/>
    <w:rsid w:val="006E160C"/>
    <w:rsid w:val="006E25CC"/>
    <w:rsid w:val="006E2BF9"/>
    <w:rsid w:val="006E2F1D"/>
    <w:rsid w:val="006E4311"/>
    <w:rsid w:val="006E4A8A"/>
    <w:rsid w:val="006E4BCB"/>
    <w:rsid w:val="006E514F"/>
    <w:rsid w:val="006E54E0"/>
    <w:rsid w:val="006E79ED"/>
    <w:rsid w:val="006E7B48"/>
    <w:rsid w:val="006F0056"/>
    <w:rsid w:val="006F0D46"/>
    <w:rsid w:val="006F0D56"/>
    <w:rsid w:val="006F458B"/>
    <w:rsid w:val="006F515A"/>
    <w:rsid w:val="006F6CFD"/>
    <w:rsid w:val="006F727B"/>
    <w:rsid w:val="006F7482"/>
    <w:rsid w:val="006F75C3"/>
    <w:rsid w:val="00701530"/>
    <w:rsid w:val="00702084"/>
    <w:rsid w:val="00702EBA"/>
    <w:rsid w:val="0070412F"/>
    <w:rsid w:val="007051DA"/>
    <w:rsid w:val="007070D9"/>
    <w:rsid w:val="0071007B"/>
    <w:rsid w:val="007129C5"/>
    <w:rsid w:val="0071325A"/>
    <w:rsid w:val="00715812"/>
    <w:rsid w:val="00715D47"/>
    <w:rsid w:val="00715D53"/>
    <w:rsid w:val="007160A4"/>
    <w:rsid w:val="007166F4"/>
    <w:rsid w:val="007209D9"/>
    <w:rsid w:val="00720AA4"/>
    <w:rsid w:val="00721539"/>
    <w:rsid w:val="00721EC8"/>
    <w:rsid w:val="00722C57"/>
    <w:rsid w:val="0072323C"/>
    <w:rsid w:val="007244D4"/>
    <w:rsid w:val="00724F6E"/>
    <w:rsid w:val="007258C0"/>
    <w:rsid w:val="00727B6F"/>
    <w:rsid w:val="00727F3B"/>
    <w:rsid w:val="00730A36"/>
    <w:rsid w:val="00731FEA"/>
    <w:rsid w:val="007323D3"/>
    <w:rsid w:val="00733419"/>
    <w:rsid w:val="0073545C"/>
    <w:rsid w:val="00740669"/>
    <w:rsid w:val="00740CD4"/>
    <w:rsid w:val="00742403"/>
    <w:rsid w:val="00742F9D"/>
    <w:rsid w:val="00742FD2"/>
    <w:rsid w:val="00743823"/>
    <w:rsid w:val="0074383D"/>
    <w:rsid w:val="00744622"/>
    <w:rsid w:val="00744C79"/>
    <w:rsid w:val="0074517F"/>
    <w:rsid w:val="007455AD"/>
    <w:rsid w:val="00745E0F"/>
    <w:rsid w:val="0074617E"/>
    <w:rsid w:val="00746B99"/>
    <w:rsid w:val="00746BCC"/>
    <w:rsid w:val="00751C90"/>
    <w:rsid w:val="0075231B"/>
    <w:rsid w:val="00752831"/>
    <w:rsid w:val="00752D1E"/>
    <w:rsid w:val="00752F79"/>
    <w:rsid w:val="00753293"/>
    <w:rsid w:val="00753A85"/>
    <w:rsid w:val="0075533F"/>
    <w:rsid w:val="00756F78"/>
    <w:rsid w:val="00761DDF"/>
    <w:rsid w:val="00762092"/>
    <w:rsid w:val="00762C94"/>
    <w:rsid w:val="00762F0E"/>
    <w:rsid w:val="0076427E"/>
    <w:rsid w:val="007647BA"/>
    <w:rsid w:val="007648DE"/>
    <w:rsid w:val="00765598"/>
    <w:rsid w:val="00766416"/>
    <w:rsid w:val="00767B57"/>
    <w:rsid w:val="007700D6"/>
    <w:rsid w:val="0077479E"/>
    <w:rsid w:val="007754AF"/>
    <w:rsid w:val="0077574E"/>
    <w:rsid w:val="00775E0E"/>
    <w:rsid w:val="00775F97"/>
    <w:rsid w:val="00776655"/>
    <w:rsid w:val="00777CA6"/>
    <w:rsid w:val="007804F7"/>
    <w:rsid w:val="00781546"/>
    <w:rsid w:val="007822CB"/>
    <w:rsid w:val="00783690"/>
    <w:rsid w:val="00783761"/>
    <w:rsid w:val="00783A84"/>
    <w:rsid w:val="00784369"/>
    <w:rsid w:val="00784533"/>
    <w:rsid w:val="0078460B"/>
    <w:rsid w:val="00784EB8"/>
    <w:rsid w:val="00786803"/>
    <w:rsid w:val="00786EAB"/>
    <w:rsid w:val="00787020"/>
    <w:rsid w:val="007903F0"/>
    <w:rsid w:val="00790F9E"/>
    <w:rsid w:val="00791D51"/>
    <w:rsid w:val="00792783"/>
    <w:rsid w:val="00792798"/>
    <w:rsid w:val="00793AE6"/>
    <w:rsid w:val="00793B24"/>
    <w:rsid w:val="00794A95"/>
    <w:rsid w:val="00796090"/>
    <w:rsid w:val="00796A7B"/>
    <w:rsid w:val="007A1B44"/>
    <w:rsid w:val="007A1DF2"/>
    <w:rsid w:val="007A2E64"/>
    <w:rsid w:val="007A38B7"/>
    <w:rsid w:val="007A3F39"/>
    <w:rsid w:val="007A47EB"/>
    <w:rsid w:val="007A48D2"/>
    <w:rsid w:val="007A55DB"/>
    <w:rsid w:val="007A5672"/>
    <w:rsid w:val="007A584A"/>
    <w:rsid w:val="007A7995"/>
    <w:rsid w:val="007A7BF3"/>
    <w:rsid w:val="007B036C"/>
    <w:rsid w:val="007B0990"/>
    <w:rsid w:val="007B1DD8"/>
    <w:rsid w:val="007B249E"/>
    <w:rsid w:val="007B295A"/>
    <w:rsid w:val="007B2E1B"/>
    <w:rsid w:val="007B35BA"/>
    <w:rsid w:val="007B3B88"/>
    <w:rsid w:val="007B3CDA"/>
    <w:rsid w:val="007B549A"/>
    <w:rsid w:val="007B551D"/>
    <w:rsid w:val="007B72DF"/>
    <w:rsid w:val="007B7C03"/>
    <w:rsid w:val="007C07A3"/>
    <w:rsid w:val="007C0871"/>
    <w:rsid w:val="007C14E8"/>
    <w:rsid w:val="007C15C8"/>
    <w:rsid w:val="007C2228"/>
    <w:rsid w:val="007C3495"/>
    <w:rsid w:val="007C3672"/>
    <w:rsid w:val="007C372F"/>
    <w:rsid w:val="007C392A"/>
    <w:rsid w:val="007C3E80"/>
    <w:rsid w:val="007C3F98"/>
    <w:rsid w:val="007C5101"/>
    <w:rsid w:val="007C6BB3"/>
    <w:rsid w:val="007C7081"/>
    <w:rsid w:val="007D06C8"/>
    <w:rsid w:val="007D072D"/>
    <w:rsid w:val="007D10F1"/>
    <w:rsid w:val="007D1477"/>
    <w:rsid w:val="007D2459"/>
    <w:rsid w:val="007D4706"/>
    <w:rsid w:val="007D582A"/>
    <w:rsid w:val="007D67FE"/>
    <w:rsid w:val="007D76A6"/>
    <w:rsid w:val="007D7834"/>
    <w:rsid w:val="007E0094"/>
    <w:rsid w:val="007E1ABA"/>
    <w:rsid w:val="007E3C64"/>
    <w:rsid w:val="007E43AF"/>
    <w:rsid w:val="007E4ABD"/>
    <w:rsid w:val="007E53F5"/>
    <w:rsid w:val="007E540A"/>
    <w:rsid w:val="007E549A"/>
    <w:rsid w:val="007E5FC4"/>
    <w:rsid w:val="007E5FE5"/>
    <w:rsid w:val="007E67D8"/>
    <w:rsid w:val="007E7E35"/>
    <w:rsid w:val="007F030F"/>
    <w:rsid w:val="007F0ACE"/>
    <w:rsid w:val="007F1AD0"/>
    <w:rsid w:val="007F1D04"/>
    <w:rsid w:val="007F2FB4"/>
    <w:rsid w:val="007F4396"/>
    <w:rsid w:val="007F462C"/>
    <w:rsid w:val="007F4E08"/>
    <w:rsid w:val="007F55B1"/>
    <w:rsid w:val="007F5FED"/>
    <w:rsid w:val="007F6C78"/>
    <w:rsid w:val="00800176"/>
    <w:rsid w:val="008003E2"/>
    <w:rsid w:val="0080101F"/>
    <w:rsid w:val="00802F1D"/>
    <w:rsid w:val="00803318"/>
    <w:rsid w:val="00803903"/>
    <w:rsid w:val="00803AFC"/>
    <w:rsid w:val="00805EDC"/>
    <w:rsid w:val="008060EB"/>
    <w:rsid w:val="00807315"/>
    <w:rsid w:val="008105D2"/>
    <w:rsid w:val="00811417"/>
    <w:rsid w:val="00811B4A"/>
    <w:rsid w:val="00812454"/>
    <w:rsid w:val="0081250F"/>
    <w:rsid w:val="00812D4F"/>
    <w:rsid w:val="0081351B"/>
    <w:rsid w:val="00813E2F"/>
    <w:rsid w:val="008144F8"/>
    <w:rsid w:val="008148D0"/>
    <w:rsid w:val="00816DA1"/>
    <w:rsid w:val="00816FB2"/>
    <w:rsid w:val="008178E1"/>
    <w:rsid w:val="00817B54"/>
    <w:rsid w:val="00820ECE"/>
    <w:rsid w:val="00821467"/>
    <w:rsid w:val="00821587"/>
    <w:rsid w:val="008220D7"/>
    <w:rsid w:val="008242CB"/>
    <w:rsid w:val="008252FB"/>
    <w:rsid w:val="0082547A"/>
    <w:rsid w:val="00827518"/>
    <w:rsid w:val="008277FD"/>
    <w:rsid w:val="00827C3A"/>
    <w:rsid w:val="008311FF"/>
    <w:rsid w:val="00831F85"/>
    <w:rsid w:val="00831F9E"/>
    <w:rsid w:val="0083211D"/>
    <w:rsid w:val="008324DD"/>
    <w:rsid w:val="00832F84"/>
    <w:rsid w:val="00832FC1"/>
    <w:rsid w:val="00832FDE"/>
    <w:rsid w:val="00833BD7"/>
    <w:rsid w:val="008347F2"/>
    <w:rsid w:val="00836ABC"/>
    <w:rsid w:val="00837ACD"/>
    <w:rsid w:val="008408A7"/>
    <w:rsid w:val="00841131"/>
    <w:rsid w:val="0084209F"/>
    <w:rsid w:val="00842174"/>
    <w:rsid w:val="00842BC4"/>
    <w:rsid w:val="0084320A"/>
    <w:rsid w:val="0084402F"/>
    <w:rsid w:val="00844AFE"/>
    <w:rsid w:val="00844BD9"/>
    <w:rsid w:val="0084692E"/>
    <w:rsid w:val="00846E24"/>
    <w:rsid w:val="00847222"/>
    <w:rsid w:val="008472A1"/>
    <w:rsid w:val="008512EB"/>
    <w:rsid w:val="008520DF"/>
    <w:rsid w:val="00852551"/>
    <w:rsid w:val="0085283E"/>
    <w:rsid w:val="00852C6A"/>
    <w:rsid w:val="00853416"/>
    <w:rsid w:val="00854743"/>
    <w:rsid w:val="0085729D"/>
    <w:rsid w:val="00857C2A"/>
    <w:rsid w:val="00857C60"/>
    <w:rsid w:val="00860407"/>
    <w:rsid w:val="00860F58"/>
    <w:rsid w:val="008615DD"/>
    <w:rsid w:val="00862255"/>
    <w:rsid w:val="00862631"/>
    <w:rsid w:val="008638AC"/>
    <w:rsid w:val="00864386"/>
    <w:rsid w:val="0086486B"/>
    <w:rsid w:val="00864DA8"/>
    <w:rsid w:val="0086509F"/>
    <w:rsid w:val="008665CA"/>
    <w:rsid w:val="008668CE"/>
    <w:rsid w:val="00866944"/>
    <w:rsid w:val="00866EB8"/>
    <w:rsid w:val="00867582"/>
    <w:rsid w:val="008675D7"/>
    <w:rsid w:val="0087053C"/>
    <w:rsid w:val="0087060F"/>
    <w:rsid w:val="00870620"/>
    <w:rsid w:val="008708DC"/>
    <w:rsid w:val="00871021"/>
    <w:rsid w:val="00871871"/>
    <w:rsid w:val="00872C0F"/>
    <w:rsid w:val="008734DA"/>
    <w:rsid w:val="0087401F"/>
    <w:rsid w:val="00874F55"/>
    <w:rsid w:val="00875327"/>
    <w:rsid w:val="0087597C"/>
    <w:rsid w:val="008759ED"/>
    <w:rsid w:val="00877410"/>
    <w:rsid w:val="00877CBD"/>
    <w:rsid w:val="0088062A"/>
    <w:rsid w:val="00880B83"/>
    <w:rsid w:val="008815D2"/>
    <w:rsid w:val="00882740"/>
    <w:rsid w:val="00882A45"/>
    <w:rsid w:val="008834C7"/>
    <w:rsid w:val="00883884"/>
    <w:rsid w:val="008862F7"/>
    <w:rsid w:val="00887F32"/>
    <w:rsid w:val="0089356A"/>
    <w:rsid w:val="00893ED1"/>
    <w:rsid w:val="0089613B"/>
    <w:rsid w:val="00897ED2"/>
    <w:rsid w:val="00897F73"/>
    <w:rsid w:val="008A12EA"/>
    <w:rsid w:val="008A19F7"/>
    <w:rsid w:val="008A24F2"/>
    <w:rsid w:val="008A32CE"/>
    <w:rsid w:val="008A32EC"/>
    <w:rsid w:val="008A3486"/>
    <w:rsid w:val="008A4419"/>
    <w:rsid w:val="008A4C0C"/>
    <w:rsid w:val="008A5645"/>
    <w:rsid w:val="008A60AF"/>
    <w:rsid w:val="008A63BC"/>
    <w:rsid w:val="008A663E"/>
    <w:rsid w:val="008A7C79"/>
    <w:rsid w:val="008B08A7"/>
    <w:rsid w:val="008B20BE"/>
    <w:rsid w:val="008B2A82"/>
    <w:rsid w:val="008B32E9"/>
    <w:rsid w:val="008B3BDE"/>
    <w:rsid w:val="008B43A7"/>
    <w:rsid w:val="008B587C"/>
    <w:rsid w:val="008B63F8"/>
    <w:rsid w:val="008B78BA"/>
    <w:rsid w:val="008B7ED1"/>
    <w:rsid w:val="008C0771"/>
    <w:rsid w:val="008C0A16"/>
    <w:rsid w:val="008C0CF2"/>
    <w:rsid w:val="008C1A60"/>
    <w:rsid w:val="008C29ED"/>
    <w:rsid w:val="008C2BDF"/>
    <w:rsid w:val="008C4228"/>
    <w:rsid w:val="008C5230"/>
    <w:rsid w:val="008C5E55"/>
    <w:rsid w:val="008C6AD0"/>
    <w:rsid w:val="008C7DF2"/>
    <w:rsid w:val="008D1026"/>
    <w:rsid w:val="008D1D56"/>
    <w:rsid w:val="008D2AA3"/>
    <w:rsid w:val="008D38B5"/>
    <w:rsid w:val="008D4B1C"/>
    <w:rsid w:val="008D5EED"/>
    <w:rsid w:val="008D604C"/>
    <w:rsid w:val="008D6A3E"/>
    <w:rsid w:val="008E1796"/>
    <w:rsid w:val="008E1FC6"/>
    <w:rsid w:val="008E296B"/>
    <w:rsid w:val="008E3AFB"/>
    <w:rsid w:val="008E4389"/>
    <w:rsid w:val="008E4658"/>
    <w:rsid w:val="008E5F43"/>
    <w:rsid w:val="008E6746"/>
    <w:rsid w:val="008E6DE7"/>
    <w:rsid w:val="008E7A48"/>
    <w:rsid w:val="008F0AAE"/>
    <w:rsid w:val="008F10A6"/>
    <w:rsid w:val="008F1458"/>
    <w:rsid w:val="008F170C"/>
    <w:rsid w:val="008F1AAF"/>
    <w:rsid w:val="008F1E83"/>
    <w:rsid w:val="008F2236"/>
    <w:rsid w:val="008F3739"/>
    <w:rsid w:val="008F40FA"/>
    <w:rsid w:val="008F480A"/>
    <w:rsid w:val="008F4C71"/>
    <w:rsid w:val="008F4D62"/>
    <w:rsid w:val="008F52AB"/>
    <w:rsid w:val="008F5316"/>
    <w:rsid w:val="008F5A1C"/>
    <w:rsid w:val="008F7063"/>
    <w:rsid w:val="009008B0"/>
    <w:rsid w:val="00901176"/>
    <w:rsid w:val="00901FF5"/>
    <w:rsid w:val="009036E3"/>
    <w:rsid w:val="00903C42"/>
    <w:rsid w:val="00904174"/>
    <w:rsid w:val="0090647C"/>
    <w:rsid w:val="00910A53"/>
    <w:rsid w:val="00910B0A"/>
    <w:rsid w:val="00910DD1"/>
    <w:rsid w:val="00910E4E"/>
    <w:rsid w:val="00911E68"/>
    <w:rsid w:val="00913D6A"/>
    <w:rsid w:val="0091403A"/>
    <w:rsid w:val="00915439"/>
    <w:rsid w:val="00915ABE"/>
    <w:rsid w:val="00915BC5"/>
    <w:rsid w:val="00916A68"/>
    <w:rsid w:val="009170EC"/>
    <w:rsid w:val="00917540"/>
    <w:rsid w:val="0092021C"/>
    <w:rsid w:val="00920452"/>
    <w:rsid w:val="00920498"/>
    <w:rsid w:val="009211EE"/>
    <w:rsid w:val="00922359"/>
    <w:rsid w:val="00922B2D"/>
    <w:rsid w:val="009243B6"/>
    <w:rsid w:val="00925231"/>
    <w:rsid w:val="009321E3"/>
    <w:rsid w:val="00932309"/>
    <w:rsid w:val="009324E7"/>
    <w:rsid w:val="00934834"/>
    <w:rsid w:val="009349C7"/>
    <w:rsid w:val="00934AFE"/>
    <w:rsid w:val="00935990"/>
    <w:rsid w:val="00937DF6"/>
    <w:rsid w:val="00941851"/>
    <w:rsid w:val="00944BA7"/>
    <w:rsid w:val="00945968"/>
    <w:rsid w:val="00946DF5"/>
    <w:rsid w:val="0094790B"/>
    <w:rsid w:val="0095030E"/>
    <w:rsid w:val="00950533"/>
    <w:rsid w:val="00954376"/>
    <w:rsid w:val="00955B68"/>
    <w:rsid w:val="009565EA"/>
    <w:rsid w:val="0095664F"/>
    <w:rsid w:val="00957777"/>
    <w:rsid w:val="009609DE"/>
    <w:rsid w:val="00961454"/>
    <w:rsid w:val="009625F5"/>
    <w:rsid w:val="0096284C"/>
    <w:rsid w:val="0096285F"/>
    <w:rsid w:val="00963A9F"/>
    <w:rsid w:val="009646EB"/>
    <w:rsid w:val="00965DE5"/>
    <w:rsid w:val="00966B23"/>
    <w:rsid w:val="009674D7"/>
    <w:rsid w:val="00967AFF"/>
    <w:rsid w:val="00967F74"/>
    <w:rsid w:val="009702DD"/>
    <w:rsid w:val="00970BE0"/>
    <w:rsid w:val="009716EC"/>
    <w:rsid w:val="009745B5"/>
    <w:rsid w:val="00975670"/>
    <w:rsid w:val="00975E73"/>
    <w:rsid w:val="009762C3"/>
    <w:rsid w:val="00977A91"/>
    <w:rsid w:val="0098042E"/>
    <w:rsid w:val="00980823"/>
    <w:rsid w:val="00980A09"/>
    <w:rsid w:val="00981B20"/>
    <w:rsid w:val="00981E5D"/>
    <w:rsid w:val="00983445"/>
    <w:rsid w:val="00983825"/>
    <w:rsid w:val="0098388B"/>
    <w:rsid w:val="00983954"/>
    <w:rsid w:val="009843CE"/>
    <w:rsid w:val="00985369"/>
    <w:rsid w:val="00985CFD"/>
    <w:rsid w:val="00986FFD"/>
    <w:rsid w:val="00990C8B"/>
    <w:rsid w:val="00991405"/>
    <w:rsid w:val="00992EBD"/>
    <w:rsid w:val="00992EEA"/>
    <w:rsid w:val="009931E1"/>
    <w:rsid w:val="00995977"/>
    <w:rsid w:val="00996521"/>
    <w:rsid w:val="0099659A"/>
    <w:rsid w:val="0099682C"/>
    <w:rsid w:val="00996EB7"/>
    <w:rsid w:val="00997AA7"/>
    <w:rsid w:val="00997B92"/>
    <w:rsid w:val="00997FA4"/>
    <w:rsid w:val="009A032F"/>
    <w:rsid w:val="009A14BC"/>
    <w:rsid w:val="009A3354"/>
    <w:rsid w:val="009A353E"/>
    <w:rsid w:val="009A5A05"/>
    <w:rsid w:val="009A6267"/>
    <w:rsid w:val="009A6603"/>
    <w:rsid w:val="009A7183"/>
    <w:rsid w:val="009A7574"/>
    <w:rsid w:val="009B0325"/>
    <w:rsid w:val="009B1114"/>
    <w:rsid w:val="009B259B"/>
    <w:rsid w:val="009B27BB"/>
    <w:rsid w:val="009B3872"/>
    <w:rsid w:val="009B3BA8"/>
    <w:rsid w:val="009B42DF"/>
    <w:rsid w:val="009B4C93"/>
    <w:rsid w:val="009B51B0"/>
    <w:rsid w:val="009B5CF2"/>
    <w:rsid w:val="009C152F"/>
    <w:rsid w:val="009C28FB"/>
    <w:rsid w:val="009C30CC"/>
    <w:rsid w:val="009C4885"/>
    <w:rsid w:val="009C5014"/>
    <w:rsid w:val="009C52F1"/>
    <w:rsid w:val="009C559A"/>
    <w:rsid w:val="009C60C6"/>
    <w:rsid w:val="009C68F6"/>
    <w:rsid w:val="009C799B"/>
    <w:rsid w:val="009D09FD"/>
    <w:rsid w:val="009D0DFD"/>
    <w:rsid w:val="009D1284"/>
    <w:rsid w:val="009D1D9D"/>
    <w:rsid w:val="009D2947"/>
    <w:rsid w:val="009D30A8"/>
    <w:rsid w:val="009D3CFF"/>
    <w:rsid w:val="009D6844"/>
    <w:rsid w:val="009D686B"/>
    <w:rsid w:val="009D6DD3"/>
    <w:rsid w:val="009E08FE"/>
    <w:rsid w:val="009E1928"/>
    <w:rsid w:val="009E3264"/>
    <w:rsid w:val="009E51E3"/>
    <w:rsid w:val="009E73F4"/>
    <w:rsid w:val="009E77D5"/>
    <w:rsid w:val="009F0140"/>
    <w:rsid w:val="009F0B9A"/>
    <w:rsid w:val="009F0C07"/>
    <w:rsid w:val="009F19F3"/>
    <w:rsid w:val="009F25B4"/>
    <w:rsid w:val="009F3B91"/>
    <w:rsid w:val="009F4F87"/>
    <w:rsid w:val="009F5087"/>
    <w:rsid w:val="009F658C"/>
    <w:rsid w:val="009F6800"/>
    <w:rsid w:val="009F6829"/>
    <w:rsid w:val="009F75F0"/>
    <w:rsid w:val="009F78AD"/>
    <w:rsid w:val="00A02300"/>
    <w:rsid w:val="00A0265C"/>
    <w:rsid w:val="00A02F3D"/>
    <w:rsid w:val="00A03040"/>
    <w:rsid w:val="00A041BC"/>
    <w:rsid w:val="00A0565A"/>
    <w:rsid w:val="00A10912"/>
    <w:rsid w:val="00A13E41"/>
    <w:rsid w:val="00A144FF"/>
    <w:rsid w:val="00A14A97"/>
    <w:rsid w:val="00A156BB"/>
    <w:rsid w:val="00A160C7"/>
    <w:rsid w:val="00A178DF"/>
    <w:rsid w:val="00A17F82"/>
    <w:rsid w:val="00A2057E"/>
    <w:rsid w:val="00A20E11"/>
    <w:rsid w:val="00A20FF0"/>
    <w:rsid w:val="00A248B9"/>
    <w:rsid w:val="00A24A2A"/>
    <w:rsid w:val="00A24AA6"/>
    <w:rsid w:val="00A251FE"/>
    <w:rsid w:val="00A259EE"/>
    <w:rsid w:val="00A2618C"/>
    <w:rsid w:val="00A26D74"/>
    <w:rsid w:val="00A30491"/>
    <w:rsid w:val="00A30BBE"/>
    <w:rsid w:val="00A31402"/>
    <w:rsid w:val="00A31DFE"/>
    <w:rsid w:val="00A31EEB"/>
    <w:rsid w:val="00A31F24"/>
    <w:rsid w:val="00A32EB2"/>
    <w:rsid w:val="00A33179"/>
    <w:rsid w:val="00A3370E"/>
    <w:rsid w:val="00A33D91"/>
    <w:rsid w:val="00A34410"/>
    <w:rsid w:val="00A3447D"/>
    <w:rsid w:val="00A34C80"/>
    <w:rsid w:val="00A351AE"/>
    <w:rsid w:val="00A3596C"/>
    <w:rsid w:val="00A4172D"/>
    <w:rsid w:val="00A42445"/>
    <w:rsid w:val="00A42E1D"/>
    <w:rsid w:val="00A42F52"/>
    <w:rsid w:val="00A45AF7"/>
    <w:rsid w:val="00A45B00"/>
    <w:rsid w:val="00A514F9"/>
    <w:rsid w:val="00A521B0"/>
    <w:rsid w:val="00A521C7"/>
    <w:rsid w:val="00A5372F"/>
    <w:rsid w:val="00A539D8"/>
    <w:rsid w:val="00A5471B"/>
    <w:rsid w:val="00A55529"/>
    <w:rsid w:val="00A55A08"/>
    <w:rsid w:val="00A61C91"/>
    <w:rsid w:val="00A6241E"/>
    <w:rsid w:val="00A626BC"/>
    <w:rsid w:val="00A62F83"/>
    <w:rsid w:val="00A63196"/>
    <w:rsid w:val="00A6491A"/>
    <w:rsid w:val="00A64B29"/>
    <w:rsid w:val="00A65248"/>
    <w:rsid w:val="00A66D03"/>
    <w:rsid w:val="00A6781E"/>
    <w:rsid w:val="00A7068E"/>
    <w:rsid w:val="00A70CB7"/>
    <w:rsid w:val="00A7199D"/>
    <w:rsid w:val="00A7255A"/>
    <w:rsid w:val="00A72A67"/>
    <w:rsid w:val="00A75297"/>
    <w:rsid w:val="00A753F9"/>
    <w:rsid w:val="00A7571C"/>
    <w:rsid w:val="00A76B59"/>
    <w:rsid w:val="00A80286"/>
    <w:rsid w:val="00A8154A"/>
    <w:rsid w:val="00A81E7F"/>
    <w:rsid w:val="00A82350"/>
    <w:rsid w:val="00A82617"/>
    <w:rsid w:val="00A82E68"/>
    <w:rsid w:val="00A8336D"/>
    <w:rsid w:val="00A835BE"/>
    <w:rsid w:val="00A835CA"/>
    <w:rsid w:val="00A83E58"/>
    <w:rsid w:val="00A8487F"/>
    <w:rsid w:val="00A84B21"/>
    <w:rsid w:val="00A85018"/>
    <w:rsid w:val="00A8798E"/>
    <w:rsid w:val="00A903AB"/>
    <w:rsid w:val="00A91085"/>
    <w:rsid w:val="00A91C44"/>
    <w:rsid w:val="00A91DBD"/>
    <w:rsid w:val="00A92C18"/>
    <w:rsid w:val="00A93591"/>
    <w:rsid w:val="00A94947"/>
    <w:rsid w:val="00A95C36"/>
    <w:rsid w:val="00A96CEB"/>
    <w:rsid w:val="00A9746E"/>
    <w:rsid w:val="00A97F10"/>
    <w:rsid w:val="00AA0E90"/>
    <w:rsid w:val="00AA0FD8"/>
    <w:rsid w:val="00AA1155"/>
    <w:rsid w:val="00AA19E3"/>
    <w:rsid w:val="00AA1A46"/>
    <w:rsid w:val="00AA1E96"/>
    <w:rsid w:val="00AA3005"/>
    <w:rsid w:val="00AA631B"/>
    <w:rsid w:val="00AA6486"/>
    <w:rsid w:val="00AA796C"/>
    <w:rsid w:val="00AA7B07"/>
    <w:rsid w:val="00AB03A9"/>
    <w:rsid w:val="00AB133C"/>
    <w:rsid w:val="00AB142B"/>
    <w:rsid w:val="00AB211D"/>
    <w:rsid w:val="00AB24A7"/>
    <w:rsid w:val="00AB3190"/>
    <w:rsid w:val="00AB49BC"/>
    <w:rsid w:val="00AB725D"/>
    <w:rsid w:val="00AC3515"/>
    <w:rsid w:val="00AC3D42"/>
    <w:rsid w:val="00AC4842"/>
    <w:rsid w:val="00AC5A41"/>
    <w:rsid w:val="00AC6DC0"/>
    <w:rsid w:val="00AC79C6"/>
    <w:rsid w:val="00AC7A3E"/>
    <w:rsid w:val="00AD0416"/>
    <w:rsid w:val="00AD07C9"/>
    <w:rsid w:val="00AD0D2B"/>
    <w:rsid w:val="00AD0D73"/>
    <w:rsid w:val="00AD11E8"/>
    <w:rsid w:val="00AD1962"/>
    <w:rsid w:val="00AD2606"/>
    <w:rsid w:val="00AD2CBC"/>
    <w:rsid w:val="00AD3B15"/>
    <w:rsid w:val="00AD3C89"/>
    <w:rsid w:val="00AD3E5B"/>
    <w:rsid w:val="00AD593C"/>
    <w:rsid w:val="00AD7D29"/>
    <w:rsid w:val="00AD7DA8"/>
    <w:rsid w:val="00AE1A8A"/>
    <w:rsid w:val="00AE1BB4"/>
    <w:rsid w:val="00AE1F20"/>
    <w:rsid w:val="00AE2545"/>
    <w:rsid w:val="00AE2B52"/>
    <w:rsid w:val="00AE35CC"/>
    <w:rsid w:val="00AE38B9"/>
    <w:rsid w:val="00AE3C4B"/>
    <w:rsid w:val="00AE576B"/>
    <w:rsid w:val="00AE61BA"/>
    <w:rsid w:val="00AE6A78"/>
    <w:rsid w:val="00AF044D"/>
    <w:rsid w:val="00AF06E8"/>
    <w:rsid w:val="00AF0B24"/>
    <w:rsid w:val="00AF1333"/>
    <w:rsid w:val="00AF1867"/>
    <w:rsid w:val="00AF20D0"/>
    <w:rsid w:val="00AF37C4"/>
    <w:rsid w:val="00AF3E72"/>
    <w:rsid w:val="00AF45F8"/>
    <w:rsid w:val="00AF5AAF"/>
    <w:rsid w:val="00AF658E"/>
    <w:rsid w:val="00AF73DC"/>
    <w:rsid w:val="00AF7725"/>
    <w:rsid w:val="00B00140"/>
    <w:rsid w:val="00B00632"/>
    <w:rsid w:val="00B00A1D"/>
    <w:rsid w:val="00B00EF8"/>
    <w:rsid w:val="00B01044"/>
    <w:rsid w:val="00B02263"/>
    <w:rsid w:val="00B0241A"/>
    <w:rsid w:val="00B02F27"/>
    <w:rsid w:val="00B03A38"/>
    <w:rsid w:val="00B0458A"/>
    <w:rsid w:val="00B0462D"/>
    <w:rsid w:val="00B046B1"/>
    <w:rsid w:val="00B04931"/>
    <w:rsid w:val="00B04D16"/>
    <w:rsid w:val="00B058A7"/>
    <w:rsid w:val="00B068D2"/>
    <w:rsid w:val="00B0696A"/>
    <w:rsid w:val="00B06B32"/>
    <w:rsid w:val="00B06B6D"/>
    <w:rsid w:val="00B107D2"/>
    <w:rsid w:val="00B12063"/>
    <w:rsid w:val="00B121B9"/>
    <w:rsid w:val="00B12A10"/>
    <w:rsid w:val="00B12B42"/>
    <w:rsid w:val="00B12E1A"/>
    <w:rsid w:val="00B13565"/>
    <w:rsid w:val="00B1393E"/>
    <w:rsid w:val="00B13E70"/>
    <w:rsid w:val="00B14233"/>
    <w:rsid w:val="00B14D28"/>
    <w:rsid w:val="00B152E8"/>
    <w:rsid w:val="00B1576F"/>
    <w:rsid w:val="00B157DC"/>
    <w:rsid w:val="00B16104"/>
    <w:rsid w:val="00B16A82"/>
    <w:rsid w:val="00B17123"/>
    <w:rsid w:val="00B17365"/>
    <w:rsid w:val="00B17A9C"/>
    <w:rsid w:val="00B20FE6"/>
    <w:rsid w:val="00B2149A"/>
    <w:rsid w:val="00B218AA"/>
    <w:rsid w:val="00B22507"/>
    <w:rsid w:val="00B22643"/>
    <w:rsid w:val="00B22F98"/>
    <w:rsid w:val="00B23101"/>
    <w:rsid w:val="00B2358A"/>
    <w:rsid w:val="00B238AF"/>
    <w:rsid w:val="00B23B71"/>
    <w:rsid w:val="00B2465A"/>
    <w:rsid w:val="00B24B28"/>
    <w:rsid w:val="00B251DF"/>
    <w:rsid w:val="00B26B2E"/>
    <w:rsid w:val="00B27FB8"/>
    <w:rsid w:val="00B3053F"/>
    <w:rsid w:val="00B30DFF"/>
    <w:rsid w:val="00B313BF"/>
    <w:rsid w:val="00B31E3D"/>
    <w:rsid w:val="00B340B6"/>
    <w:rsid w:val="00B34786"/>
    <w:rsid w:val="00B34AE1"/>
    <w:rsid w:val="00B34F1B"/>
    <w:rsid w:val="00B35D73"/>
    <w:rsid w:val="00B36AA4"/>
    <w:rsid w:val="00B41044"/>
    <w:rsid w:val="00B41AF2"/>
    <w:rsid w:val="00B41D21"/>
    <w:rsid w:val="00B41E21"/>
    <w:rsid w:val="00B43D46"/>
    <w:rsid w:val="00B44E80"/>
    <w:rsid w:val="00B45A90"/>
    <w:rsid w:val="00B464CF"/>
    <w:rsid w:val="00B46856"/>
    <w:rsid w:val="00B46F30"/>
    <w:rsid w:val="00B479F7"/>
    <w:rsid w:val="00B47A1F"/>
    <w:rsid w:val="00B47F84"/>
    <w:rsid w:val="00B50EEF"/>
    <w:rsid w:val="00B51A36"/>
    <w:rsid w:val="00B51DF0"/>
    <w:rsid w:val="00B51FE6"/>
    <w:rsid w:val="00B525C7"/>
    <w:rsid w:val="00B537B0"/>
    <w:rsid w:val="00B54182"/>
    <w:rsid w:val="00B54862"/>
    <w:rsid w:val="00B55E64"/>
    <w:rsid w:val="00B5656F"/>
    <w:rsid w:val="00B56A60"/>
    <w:rsid w:val="00B56DA6"/>
    <w:rsid w:val="00B57352"/>
    <w:rsid w:val="00B57DD5"/>
    <w:rsid w:val="00B60B05"/>
    <w:rsid w:val="00B60D8E"/>
    <w:rsid w:val="00B61899"/>
    <w:rsid w:val="00B61AC7"/>
    <w:rsid w:val="00B61E4A"/>
    <w:rsid w:val="00B6321B"/>
    <w:rsid w:val="00B63603"/>
    <w:rsid w:val="00B63715"/>
    <w:rsid w:val="00B6462B"/>
    <w:rsid w:val="00B64D37"/>
    <w:rsid w:val="00B64F52"/>
    <w:rsid w:val="00B651D4"/>
    <w:rsid w:val="00B65B19"/>
    <w:rsid w:val="00B71F32"/>
    <w:rsid w:val="00B72348"/>
    <w:rsid w:val="00B73683"/>
    <w:rsid w:val="00B747B3"/>
    <w:rsid w:val="00B80AB8"/>
    <w:rsid w:val="00B80FB3"/>
    <w:rsid w:val="00B81475"/>
    <w:rsid w:val="00B8248D"/>
    <w:rsid w:val="00B8284C"/>
    <w:rsid w:val="00B86AF6"/>
    <w:rsid w:val="00B86CD8"/>
    <w:rsid w:val="00B87739"/>
    <w:rsid w:val="00B87F48"/>
    <w:rsid w:val="00B90228"/>
    <w:rsid w:val="00B9088A"/>
    <w:rsid w:val="00B91C90"/>
    <w:rsid w:val="00B91F99"/>
    <w:rsid w:val="00B9360C"/>
    <w:rsid w:val="00B93683"/>
    <w:rsid w:val="00B9385F"/>
    <w:rsid w:val="00B943CB"/>
    <w:rsid w:val="00B94796"/>
    <w:rsid w:val="00B94E88"/>
    <w:rsid w:val="00B9630C"/>
    <w:rsid w:val="00B96584"/>
    <w:rsid w:val="00B96D59"/>
    <w:rsid w:val="00B9768E"/>
    <w:rsid w:val="00B97AEB"/>
    <w:rsid w:val="00B97B6C"/>
    <w:rsid w:val="00BA06A7"/>
    <w:rsid w:val="00BA0BA8"/>
    <w:rsid w:val="00BA0BF4"/>
    <w:rsid w:val="00BA13CF"/>
    <w:rsid w:val="00BA23D5"/>
    <w:rsid w:val="00BA3D10"/>
    <w:rsid w:val="00BA4BBD"/>
    <w:rsid w:val="00BA52BD"/>
    <w:rsid w:val="00BA5392"/>
    <w:rsid w:val="00BA7FC0"/>
    <w:rsid w:val="00BB170D"/>
    <w:rsid w:val="00BB268D"/>
    <w:rsid w:val="00BB3867"/>
    <w:rsid w:val="00BB5305"/>
    <w:rsid w:val="00BB5AF7"/>
    <w:rsid w:val="00BB6125"/>
    <w:rsid w:val="00BB6D39"/>
    <w:rsid w:val="00BB76A3"/>
    <w:rsid w:val="00BC0F37"/>
    <w:rsid w:val="00BC1659"/>
    <w:rsid w:val="00BC22B3"/>
    <w:rsid w:val="00BC2352"/>
    <w:rsid w:val="00BC2871"/>
    <w:rsid w:val="00BC2A81"/>
    <w:rsid w:val="00BC2BE2"/>
    <w:rsid w:val="00BC4380"/>
    <w:rsid w:val="00BC444B"/>
    <w:rsid w:val="00BC4A3D"/>
    <w:rsid w:val="00BC4C11"/>
    <w:rsid w:val="00BC5B4D"/>
    <w:rsid w:val="00BC6E01"/>
    <w:rsid w:val="00BD071A"/>
    <w:rsid w:val="00BD073E"/>
    <w:rsid w:val="00BD0FF6"/>
    <w:rsid w:val="00BD1AFA"/>
    <w:rsid w:val="00BD1AFD"/>
    <w:rsid w:val="00BD1CB5"/>
    <w:rsid w:val="00BD1EDC"/>
    <w:rsid w:val="00BD2484"/>
    <w:rsid w:val="00BD2582"/>
    <w:rsid w:val="00BD3DE8"/>
    <w:rsid w:val="00BD4084"/>
    <w:rsid w:val="00BD425D"/>
    <w:rsid w:val="00BD4361"/>
    <w:rsid w:val="00BD597A"/>
    <w:rsid w:val="00BD5C84"/>
    <w:rsid w:val="00BD60F0"/>
    <w:rsid w:val="00BD6AC0"/>
    <w:rsid w:val="00BD70DD"/>
    <w:rsid w:val="00BD77C8"/>
    <w:rsid w:val="00BD79F1"/>
    <w:rsid w:val="00BE0105"/>
    <w:rsid w:val="00BE0935"/>
    <w:rsid w:val="00BE238E"/>
    <w:rsid w:val="00BE2396"/>
    <w:rsid w:val="00BE23E3"/>
    <w:rsid w:val="00BE30F6"/>
    <w:rsid w:val="00BE3B6C"/>
    <w:rsid w:val="00BE59DA"/>
    <w:rsid w:val="00BE6258"/>
    <w:rsid w:val="00BE7752"/>
    <w:rsid w:val="00BE782F"/>
    <w:rsid w:val="00BF05FC"/>
    <w:rsid w:val="00BF1228"/>
    <w:rsid w:val="00BF1412"/>
    <w:rsid w:val="00BF1A13"/>
    <w:rsid w:val="00BF2C26"/>
    <w:rsid w:val="00BF30D3"/>
    <w:rsid w:val="00BF44F1"/>
    <w:rsid w:val="00BF4947"/>
    <w:rsid w:val="00BF4A3C"/>
    <w:rsid w:val="00BF5176"/>
    <w:rsid w:val="00BF54F2"/>
    <w:rsid w:val="00BF6B04"/>
    <w:rsid w:val="00BF6FB8"/>
    <w:rsid w:val="00BF70E9"/>
    <w:rsid w:val="00BF71E9"/>
    <w:rsid w:val="00BF7414"/>
    <w:rsid w:val="00BF7836"/>
    <w:rsid w:val="00BF79BC"/>
    <w:rsid w:val="00C01431"/>
    <w:rsid w:val="00C019CF"/>
    <w:rsid w:val="00C01C54"/>
    <w:rsid w:val="00C02098"/>
    <w:rsid w:val="00C02B5A"/>
    <w:rsid w:val="00C03D34"/>
    <w:rsid w:val="00C046E6"/>
    <w:rsid w:val="00C06230"/>
    <w:rsid w:val="00C069D5"/>
    <w:rsid w:val="00C06A03"/>
    <w:rsid w:val="00C0713D"/>
    <w:rsid w:val="00C07EE3"/>
    <w:rsid w:val="00C10DFD"/>
    <w:rsid w:val="00C117A0"/>
    <w:rsid w:val="00C12084"/>
    <w:rsid w:val="00C12800"/>
    <w:rsid w:val="00C13552"/>
    <w:rsid w:val="00C13966"/>
    <w:rsid w:val="00C143EA"/>
    <w:rsid w:val="00C14BA8"/>
    <w:rsid w:val="00C16AFE"/>
    <w:rsid w:val="00C16FEC"/>
    <w:rsid w:val="00C17DFA"/>
    <w:rsid w:val="00C17FCB"/>
    <w:rsid w:val="00C20872"/>
    <w:rsid w:val="00C22568"/>
    <w:rsid w:val="00C2357E"/>
    <w:rsid w:val="00C24796"/>
    <w:rsid w:val="00C251BD"/>
    <w:rsid w:val="00C25803"/>
    <w:rsid w:val="00C2627E"/>
    <w:rsid w:val="00C2671E"/>
    <w:rsid w:val="00C26B71"/>
    <w:rsid w:val="00C3004E"/>
    <w:rsid w:val="00C300B5"/>
    <w:rsid w:val="00C309E5"/>
    <w:rsid w:val="00C31D76"/>
    <w:rsid w:val="00C32056"/>
    <w:rsid w:val="00C33A41"/>
    <w:rsid w:val="00C355BD"/>
    <w:rsid w:val="00C355BF"/>
    <w:rsid w:val="00C3594F"/>
    <w:rsid w:val="00C35BCA"/>
    <w:rsid w:val="00C35E47"/>
    <w:rsid w:val="00C361D1"/>
    <w:rsid w:val="00C37E40"/>
    <w:rsid w:val="00C40248"/>
    <w:rsid w:val="00C40DCC"/>
    <w:rsid w:val="00C41624"/>
    <w:rsid w:val="00C41D87"/>
    <w:rsid w:val="00C42E7D"/>
    <w:rsid w:val="00C4326E"/>
    <w:rsid w:val="00C433B1"/>
    <w:rsid w:val="00C446AD"/>
    <w:rsid w:val="00C4473C"/>
    <w:rsid w:val="00C44E36"/>
    <w:rsid w:val="00C45008"/>
    <w:rsid w:val="00C467C9"/>
    <w:rsid w:val="00C46F71"/>
    <w:rsid w:val="00C470A3"/>
    <w:rsid w:val="00C50F56"/>
    <w:rsid w:val="00C510B7"/>
    <w:rsid w:val="00C51227"/>
    <w:rsid w:val="00C513B7"/>
    <w:rsid w:val="00C521AF"/>
    <w:rsid w:val="00C539E0"/>
    <w:rsid w:val="00C54ACC"/>
    <w:rsid w:val="00C54D3B"/>
    <w:rsid w:val="00C54FF0"/>
    <w:rsid w:val="00C55745"/>
    <w:rsid w:val="00C60202"/>
    <w:rsid w:val="00C6028E"/>
    <w:rsid w:val="00C602AA"/>
    <w:rsid w:val="00C60745"/>
    <w:rsid w:val="00C619AC"/>
    <w:rsid w:val="00C62215"/>
    <w:rsid w:val="00C630ED"/>
    <w:rsid w:val="00C63737"/>
    <w:rsid w:val="00C656E0"/>
    <w:rsid w:val="00C660DF"/>
    <w:rsid w:val="00C70034"/>
    <w:rsid w:val="00C70B28"/>
    <w:rsid w:val="00C73048"/>
    <w:rsid w:val="00C75682"/>
    <w:rsid w:val="00C76D10"/>
    <w:rsid w:val="00C7754B"/>
    <w:rsid w:val="00C80399"/>
    <w:rsid w:val="00C80D5F"/>
    <w:rsid w:val="00C80EC4"/>
    <w:rsid w:val="00C82301"/>
    <w:rsid w:val="00C827E0"/>
    <w:rsid w:val="00C83555"/>
    <w:rsid w:val="00C8380B"/>
    <w:rsid w:val="00C83B09"/>
    <w:rsid w:val="00C83E2D"/>
    <w:rsid w:val="00C844BB"/>
    <w:rsid w:val="00C846CF"/>
    <w:rsid w:val="00C847C3"/>
    <w:rsid w:val="00C85A26"/>
    <w:rsid w:val="00C85CB0"/>
    <w:rsid w:val="00C86F7F"/>
    <w:rsid w:val="00C87427"/>
    <w:rsid w:val="00C87D13"/>
    <w:rsid w:val="00C90782"/>
    <w:rsid w:val="00C90EB0"/>
    <w:rsid w:val="00C914D2"/>
    <w:rsid w:val="00C928FF"/>
    <w:rsid w:val="00C92F36"/>
    <w:rsid w:val="00C94767"/>
    <w:rsid w:val="00C94B50"/>
    <w:rsid w:val="00C94FB4"/>
    <w:rsid w:val="00C95966"/>
    <w:rsid w:val="00C96D6B"/>
    <w:rsid w:val="00CA0F34"/>
    <w:rsid w:val="00CA1E21"/>
    <w:rsid w:val="00CA1F18"/>
    <w:rsid w:val="00CA66A7"/>
    <w:rsid w:val="00CA6705"/>
    <w:rsid w:val="00CA6C29"/>
    <w:rsid w:val="00CB077B"/>
    <w:rsid w:val="00CB18DA"/>
    <w:rsid w:val="00CB1F59"/>
    <w:rsid w:val="00CB3724"/>
    <w:rsid w:val="00CB3750"/>
    <w:rsid w:val="00CB68E6"/>
    <w:rsid w:val="00CB7A71"/>
    <w:rsid w:val="00CC0D01"/>
    <w:rsid w:val="00CC0F46"/>
    <w:rsid w:val="00CC1355"/>
    <w:rsid w:val="00CC1F95"/>
    <w:rsid w:val="00CC3829"/>
    <w:rsid w:val="00CC3E81"/>
    <w:rsid w:val="00CC5168"/>
    <w:rsid w:val="00CC5958"/>
    <w:rsid w:val="00CC634E"/>
    <w:rsid w:val="00CC7F2E"/>
    <w:rsid w:val="00CD0F36"/>
    <w:rsid w:val="00CD1A46"/>
    <w:rsid w:val="00CD2ACD"/>
    <w:rsid w:val="00CD2C26"/>
    <w:rsid w:val="00CD4217"/>
    <w:rsid w:val="00CD4E69"/>
    <w:rsid w:val="00CD55CF"/>
    <w:rsid w:val="00CD5C7F"/>
    <w:rsid w:val="00CD66C0"/>
    <w:rsid w:val="00CD69CC"/>
    <w:rsid w:val="00CD6BE4"/>
    <w:rsid w:val="00CD6CE5"/>
    <w:rsid w:val="00CD7C20"/>
    <w:rsid w:val="00CE0F6C"/>
    <w:rsid w:val="00CE1154"/>
    <w:rsid w:val="00CE11AD"/>
    <w:rsid w:val="00CE1311"/>
    <w:rsid w:val="00CE1357"/>
    <w:rsid w:val="00CE177A"/>
    <w:rsid w:val="00CE1C43"/>
    <w:rsid w:val="00CE1F64"/>
    <w:rsid w:val="00CE32F7"/>
    <w:rsid w:val="00CE44FA"/>
    <w:rsid w:val="00CE4A09"/>
    <w:rsid w:val="00CE57E6"/>
    <w:rsid w:val="00CE5E0B"/>
    <w:rsid w:val="00CE608F"/>
    <w:rsid w:val="00CE640A"/>
    <w:rsid w:val="00CE6C54"/>
    <w:rsid w:val="00CF0135"/>
    <w:rsid w:val="00CF06E7"/>
    <w:rsid w:val="00CF0C07"/>
    <w:rsid w:val="00CF0CC7"/>
    <w:rsid w:val="00CF14DC"/>
    <w:rsid w:val="00CF1E27"/>
    <w:rsid w:val="00CF2194"/>
    <w:rsid w:val="00CF226A"/>
    <w:rsid w:val="00CF3794"/>
    <w:rsid w:val="00CF39E4"/>
    <w:rsid w:val="00CF4048"/>
    <w:rsid w:val="00CF56A5"/>
    <w:rsid w:val="00CF5CDE"/>
    <w:rsid w:val="00CF5ED3"/>
    <w:rsid w:val="00CF6730"/>
    <w:rsid w:val="00CF68D9"/>
    <w:rsid w:val="00CF7150"/>
    <w:rsid w:val="00CF7B09"/>
    <w:rsid w:val="00D00C62"/>
    <w:rsid w:val="00D017F4"/>
    <w:rsid w:val="00D026E9"/>
    <w:rsid w:val="00D0346F"/>
    <w:rsid w:val="00D03650"/>
    <w:rsid w:val="00D03CDF"/>
    <w:rsid w:val="00D060E2"/>
    <w:rsid w:val="00D074A0"/>
    <w:rsid w:val="00D105D3"/>
    <w:rsid w:val="00D10627"/>
    <w:rsid w:val="00D1119C"/>
    <w:rsid w:val="00D11E5D"/>
    <w:rsid w:val="00D14E6F"/>
    <w:rsid w:val="00D14F7D"/>
    <w:rsid w:val="00D157BC"/>
    <w:rsid w:val="00D15CC9"/>
    <w:rsid w:val="00D16987"/>
    <w:rsid w:val="00D20B7E"/>
    <w:rsid w:val="00D2157F"/>
    <w:rsid w:val="00D225B3"/>
    <w:rsid w:val="00D22ADA"/>
    <w:rsid w:val="00D22B0B"/>
    <w:rsid w:val="00D25EC3"/>
    <w:rsid w:val="00D2685C"/>
    <w:rsid w:val="00D2711F"/>
    <w:rsid w:val="00D276DA"/>
    <w:rsid w:val="00D31798"/>
    <w:rsid w:val="00D33671"/>
    <w:rsid w:val="00D337F3"/>
    <w:rsid w:val="00D34C78"/>
    <w:rsid w:val="00D3593E"/>
    <w:rsid w:val="00D35C48"/>
    <w:rsid w:val="00D361AF"/>
    <w:rsid w:val="00D36FA3"/>
    <w:rsid w:val="00D37BCD"/>
    <w:rsid w:val="00D400A0"/>
    <w:rsid w:val="00D405EF"/>
    <w:rsid w:val="00D4065B"/>
    <w:rsid w:val="00D40B39"/>
    <w:rsid w:val="00D42C61"/>
    <w:rsid w:val="00D44308"/>
    <w:rsid w:val="00D44CE2"/>
    <w:rsid w:val="00D4593C"/>
    <w:rsid w:val="00D45B3B"/>
    <w:rsid w:val="00D4722F"/>
    <w:rsid w:val="00D47246"/>
    <w:rsid w:val="00D472B1"/>
    <w:rsid w:val="00D4752C"/>
    <w:rsid w:val="00D511E2"/>
    <w:rsid w:val="00D511F1"/>
    <w:rsid w:val="00D515E3"/>
    <w:rsid w:val="00D51674"/>
    <w:rsid w:val="00D529B0"/>
    <w:rsid w:val="00D53593"/>
    <w:rsid w:val="00D55FC8"/>
    <w:rsid w:val="00D56360"/>
    <w:rsid w:val="00D56A93"/>
    <w:rsid w:val="00D60773"/>
    <w:rsid w:val="00D632AE"/>
    <w:rsid w:val="00D63541"/>
    <w:rsid w:val="00D63767"/>
    <w:rsid w:val="00D6397D"/>
    <w:rsid w:val="00D63EFC"/>
    <w:rsid w:val="00D64101"/>
    <w:rsid w:val="00D64814"/>
    <w:rsid w:val="00D65789"/>
    <w:rsid w:val="00D65A54"/>
    <w:rsid w:val="00D65A7E"/>
    <w:rsid w:val="00D6630D"/>
    <w:rsid w:val="00D66C13"/>
    <w:rsid w:val="00D67A42"/>
    <w:rsid w:val="00D705C4"/>
    <w:rsid w:val="00D70686"/>
    <w:rsid w:val="00D71019"/>
    <w:rsid w:val="00D71E77"/>
    <w:rsid w:val="00D72919"/>
    <w:rsid w:val="00D73094"/>
    <w:rsid w:val="00D73D9B"/>
    <w:rsid w:val="00D74857"/>
    <w:rsid w:val="00D75AF4"/>
    <w:rsid w:val="00D75B41"/>
    <w:rsid w:val="00D765D9"/>
    <w:rsid w:val="00D766BB"/>
    <w:rsid w:val="00D77ADD"/>
    <w:rsid w:val="00D80428"/>
    <w:rsid w:val="00D80A72"/>
    <w:rsid w:val="00D80D1E"/>
    <w:rsid w:val="00D81327"/>
    <w:rsid w:val="00D81C58"/>
    <w:rsid w:val="00D8232D"/>
    <w:rsid w:val="00D82371"/>
    <w:rsid w:val="00D850AA"/>
    <w:rsid w:val="00D8572F"/>
    <w:rsid w:val="00D85CE7"/>
    <w:rsid w:val="00D8683E"/>
    <w:rsid w:val="00D86A26"/>
    <w:rsid w:val="00D870C8"/>
    <w:rsid w:val="00D879CA"/>
    <w:rsid w:val="00D901CC"/>
    <w:rsid w:val="00D91AE2"/>
    <w:rsid w:val="00D91EA1"/>
    <w:rsid w:val="00D9204B"/>
    <w:rsid w:val="00D9261B"/>
    <w:rsid w:val="00D92B6D"/>
    <w:rsid w:val="00D93D38"/>
    <w:rsid w:val="00D940F8"/>
    <w:rsid w:val="00D941D1"/>
    <w:rsid w:val="00D949B2"/>
    <w:rsid w:val="00D94AD4"/>
    <w:rsid w:val="00D95712"/>
    <w:rsid w:val="00D95764"/>
    <w:rsid w:val="00D9655C"/>
    <w:rsid w:val="00D96E94"/>
    <w:rsid w:val="00D978E6"/>
    <w:rsid w:val="00D97AD8"/>
    <w:rsid w:val="00D97D1A"/>
    <w:rsid w:val="00DA096F"/>
    <w:rsid w:val="00DA10AC"/>
    <w:rsid w:val="00DA17B4"/>
    <w:rsid w:val="00DA2157"/>
    <w:rsid w:val="00DA305E"/>
    <w:rsid w:val="00DA3505"/>
    <w:rsid w:val="00DA359C"/>
    <w:rsid w:val="00DA3992"/>
    <w:rsid w:val="00DA3FFD"/>
    <w:rsid w:val="00DA4060"/>
    <w:rsid w:val="00DA4ECE"/>
    <w:rsid w:val="00DA593D"/>
    <w:rsid w:val="00DA6620"/>
    <w:rsid w:val="00DA6CF4"/>
    <w:rsid w:val="00DA7F01"/>
    <w:rsid w:val="00DB0E0E"/>
    <w:rsid w:val="00DB1CB2"/>
    <w:rsid w:val="00DB3907"/>
    <w:rsid w:val="00DB3A3F"/>
    <w:rsid w:val="00DB6F7E"/>
    <w:rsid w:val="00DB7C20"/>
    <w:rsid w:val="00DC0D58"/>
    <w:rsid w:val="00DC10D6"/>
    <w:rsid w:val="00DC18C8"/>
    <w:rsid w:val="00DC3A6D"/>
    <w:rsid w:val="00DC3BF9"/>
    <w:rsid w:val="00DC6007"/>
    <w:rsid w:val="00DC7367"/>
    <w:rsid w:val="00DD0D26"/>
    <w:rsid w:val="00DD1857"/>
    <w:rsid w:val="00DD1EC7"/>
    <w:rsid w:val="00DD226C"/>
    <w:rsid w:val="00DD2681"/>
    <w:rsid w:val="00DD355E"/>
    <w:rsid w:val="00DD3EFE"/>
    <w:rsid w:val="00DD52CB"/>
    <w:rsid w:val="00DD6459"/>
    <w:rsid w:val="00DD71FD"/>
    <w:rsid w:val="00DD7C45"/>
    <w:rsid w:val="00DE08ED"/>
    <w:rsid w:val="00DE0CB0"/>
    <w:rsid w:val="00DE0E80"/>
    <w:rsid w:val="00DE1C87"/>
    <w:rsid w:val="00DE1FF7"/>
    <w:rsid w:val="00DE2929"/>
    <w:rsid w:val="00DE2B36"/>
    <w:rsid w:val="00DE319B"/>
    <w:rsid w:val="00DE396E"/>
    <w:rsid w:val="00DE46A6"/>
    <w:rsid w:val="00DE6DB6"/>
    <w:rsid w:val="00DE704B"/>
    <w:rsid w:val="00DE74D8"/>
    <w:rsid w:val="00DF013E"/>
    <w:rsid w:val="00DF016B"/>
    <w:rsid w:val="00DF0D9F"/>
    <w:rsid w:val="00DF248D"/>
    <w:rsid w:val="00DF3BC9"/>
    <w:rsid w:val="00DF4380"/>
    <w:rsid w:val="00DF4D9E"/>
    <w:rsid w:val="00DF630A"/>
    <w:rsid w:val="00DF7344"/>
    <w:rsid w:val="00DF7600"/>
    <w:rsid w:val="00DF7A8B"/>
    <w:rsid w:val="00DF7C28"/>
    <w:rsid w:val="00E00585"/>
    <w:rsid w:val="00E00704"/>
    <w:rsid w:val="00E0070E"/>
    <w:rsid w:val="00E00A79"/>
    <w:rsid w:val="00E00D72"/>
    <w:rsid w:val="00E00EAE"/>
    <w:rsid w:val="00E0426A"/>
    <w:rsid w:val="00E054B1"/>
    <w:rsid w:val="00E058AE"/>
    <w:rsid w:val="00E06430"/>
    <w:rsid w:val="00E06661"/>
    <w:rsid w:val="00E06BAE"/>
    <w:rsid w:val="00E10A95"/>
    <w:rsid w:val="00E11594"/>
    <w:rsid w:val="00E11BCB"/>
    <w:rsid w:val="00E12423"/>
    <w:rsid w:val="00E13455"/>
    <w:rsid w:val="00E13F1E"/>
    <w:rsid w:val="00E14E91"/>
    <w:rsid w:val="00E16900"/>
    <w:rsid w:val="00E171AB"/>
    <w:rsid w:val="00E213A5"/>
    <w:rsid w:val="00E21526"/>
    <w:rsid w:val="00E23709"/>
    <w:rsid w:val="00E249F9"/>
    <w:rsid w:val="00E25992"/>
    <w:rsid w:val="00E26794"/>
    <w:rsid w:val="00E2737C"/>
    <w:rsid w:val="00E274C9"/>
    <w:rsid w:val="00E300DD"/>
    <w:rsid w:val="00E3075D"/>
    <w:rsid w:val="00E30F31"/>
    <w:rsid w:val="00E31695"/>
    <w:rsid w:val="00E318C7"/>
    <w:rsid w:val="00E32760"/>
    <w:rsid w:val="00E337A4"/>
    <w:rsid w:val="00E349AF"/>
    <w:rsid w:val="00E35B9C"/>
    <w:rsid w:val="00E35FA2"/>
    <w:rsid w:val="00E360D4"/>
    <w:rsid w:val="00E37CE9"/>
    <w:rsid w:val="00E42639"/>
    <w:rsid w:val="00E42863"/>
    <w:rsid w:val="00E42B99"/>
    <w:rsid w:val="00E42E9B"/>
    <w:rsid w:val="00E43149"/>
    <w:rsid w:val="00E432E7"/>
    <w:rsid w:val="00E452F6"/>
    <w:rsid w:val="00E453A3"/>
    <w:rsid w:val="00E454A0"/>
    <w:rsid w:val="00E4591A"/>
    <w:rsid w:val="00E46CB8"/>
    <w:rsid w:val="00E475E7"/>
    <w:rsid w:val="00E47A84"/>
    <w:rsid w:val="00E53302"/>
    <w:rsid w:val="00E53F30"/>
    <w:rsid w:val="00E549AB"/>
    <w:rsid w:val="00E54DBA"/>
    <w:rsid w:val="00E5500A"/>
    <w:rsid w:val="00E56185"/>
    <w:rsid w:val="00E57217"/>
    <w:rsid w:val="00E576FC"/>
    <w:rsid w:val="00E57F58"/>
    <w:rsid w:val="00E57FE7"/>
    <w:rsid w:val="00E61335"/>
    <w:rsid w:val="00E613C0"/>
    <w:rsid w:val="00E61C58"/>
    <w:rsid w:val="00E632B3"/>
    <w:rsid w:val="00E637A7"/>
    <w:rsid w:val="00E63C03"/>
    <w:rsid w:val="00E64822"/>
    <w:rsid w:val="00E64BDB"/>
    <w:rsid w:val="00E64C3C"/>
    <w:rsid w:val="00E66765"/>
    <w:rsid w:val="00E66A7A"/>
    <w:rsid w:val="00E671E8"/>
    <w:rsid w:val="00E67A77"/>
    <w:rsid w:val="00E71F56"/>
    <w:rsid w:val="00E72533"/>
    <w:rsid w:val="00E74C82"/>
    <w:rsid w:val="00E75141"/>
    <w:rsid w:val="00E763B2"/>
    <w:rsid w:val="00E76F7F"/>
    <w:rsid w:val="00E770C1"/>
    <w:rsid w:val="00E77115"/>
    <w:rsid w:val="00E7768D"/>
    <w:rsid w:val="00E77714"/>
    <w:rsid w:val="00E8030F"/>
    <w:rsid w:val="00E803EF"/>
    <w:rsid w:val="00E820AD"/>
    <w:rsid w:val="00E824EC"/>
    <w:rsid w:val="00E82806"/>
    <w:rsid w:val="00E83C38"/>
    <w:rsid w:val="00E83DD6"/>
    <w:rsid w:val="00E83F14"/>
    <w:rsid w:val="00E841B4"/>
    <w:rsid w:val="00E847A1"/>
    <w:rsid w:val="00E84831"/>
    <w:rsid w:val="00E859DA"/>
    <w:rsid w:val="00E85C3E"/>
    <w:rsid w:val="00E863C3"/>
    <w:rsid w:val="00E90B5C"/>
    <w:rsid w:val="00E91CFB"/>
    <w:rsid w:val="00E928C1"/>
    <w:rsid w:val="00E92EC4"/>
    <w:rsid w:val="00E93380"/>
    <w:rsid w:val="00E9343D"/>
    <w:rsid w:val="00E948C4"/>
    <w:rsid w:val="00E95034"/>
    <w:rsid w:val="00E951E6"/>
    <w:rsid w:val="00E95B1D"/>
    <w:rsid w:val="00E962C3"/>
    <w:rsid w:val="00E96DBE"/>
    <w:rsid w:val="00E97D8E"/>
    <w:rsid w:val="00EA0AC5"/>
    <w:rsid w:val="00EA0C86"/>
    <w:rsid w:val="00EA1A51"/>
    <w:rsid w:val="00EA2728"/>
    <w:rsid w:val="00EA4134"/>
    <w:rsid w:val="00EA4678"/>
    <w:rsid w:val="00EA6504"/>
    <w:rsid w:val="00EA73D0"/>
    <w:rsid w:val="00EA7599"/>
    <w:rsid w:val="00EB1642"/>
    <w:rsid w:val="00EB2448"/>
    <w:rsid w:val="00EB347F"/>
    <w:rsid w:val="00EB3CBA"/>
    <w:rsid w:val="00EB3CEC"/>
    <w:rsid w:val="00EB5025"/>
    <w:rsid w:val="00EB5F01"/>
    <w:rsid w:val="00EB66C2"/>
    <w:rsid w:val="00EB677E"/>
    <w:rsid w:val="00EB7F06"/>
    <w:rsid w:val="00EC08AE"/>
    <w:rsid w:val="00EC108C"/>
    <w:rsid w:val="00EC10E0"/>
    <w:rsid w:val="00EC1F35"/>
    <w:rsid w:val="00EC47E8"/>
    <w:rsid w:val="00EC47EB"/>
    <w:rsid w:val="00EC488F"/>
    <w:rsid w:val="00EC4BF8"/>
    <w:rsid w:val="00EC590D"/>
    <w:rsid w:val="00EC712D"/>
    <w:rsid w:val="00EC7242"/>
    <w:rsid w:val="00ED05B7"/>
    <w:rsid w:val="00ED09CA"/>
    <w:rsid w:val="00ED0E46"/>
    <w:rsid w:val="00ED258B"/>
    <w:rsid w:val="00ED2C04"/>
    <w:rsid w:val="00ED3273"/>
    <w:rsid w:val="00ED32B5"/>
    <w:rsid w:val="00ED357E"/>
    <w:rsid w:val="00ED3D20"/>
    <w:rsid w:val="00ED43CF"/>
    <w:rsid w:val="00ED48F4"/>
    <w:rsid w:val="00ED551C"/>
    <w:rsid w:val="00ED611F"/>
    <w:rsid w:val="00ED61B9"/>
    <w:rsid w:val="00ED65AE"/>
    <w:rsid w:val="00ED6BF2"/>
    <w:rsid w:val="00ED6C1D"/>
    <w:rsid w:val="00ED6E14"/>
    <w:rsid w:val="00ED7076"/>
    <w:rsid w:val="00ED716D"/>
    <w:rsid w:val="00EE0803"/>
    <w:rsid w:val="00EE1AF2"/>
    <w:rsid w:val="00EE1CEF"/>
    <w:rsid w:val="00EE2139"/>
    <w:rsid w:val="00EE3052"/>
    <w:rsid w:val="00EE3E47"/>
    <w:rsid w:val="00EE517A"/>
    <w:rsid w:val="00EE59D9"/>
    <w:rsid w:val="00EE67B8"/>
    <w:rsid w:val="00EE715A"/>
    <w:rsid w:val="00EF07FC"/>
    <w:rsid w:val="00EF0F60"/>
    <w:rsid w:val="00EF19E2"/>
    <w:rsid w:val="00EF1AF0"/>
    <w:rsid w:val="00EF4101"/>
    <w:rsid w:val="00EF4B90"/>
    <w:rsid w:val="00EF5BDC"/>
    <w:rsid w:val="00EF5D9D"/>
    <w:rsid w:val="00EF6464"/>
    <w:rsid w:val="00EF647E"/>
    <w:rsid w:val="00EF65A4"/>
    <w:rsid w:val="00EF6750"/>
    <w:rsid w:val="00EF6AE5"/>
    <w:rsid w:val="00EF6B9A"/>
    <w:rsid w:val="00F030C5"/>
    <w:rsid w:val="00F04137"/>
    <w:rsid w:val="00F04B46"/>
    <w:rsid w:val="00F05431"/>
    <w:rsid w:val="00F055EB"/>
    <w:rsid w:val="00F058F5"/>
    <w:rsid w:val="00F05CCF"/>
    <w:rsid w:val="00F06D67"/>
    <w:rsid w:val="00F06FCA"/>
    <w:rsid w:val="00F10213"/>
    <w:rsid w:val="00F10AB6"/>
    <w:rsid w:val="00F113FE"/>
    <w:rsid w:val="00F11C4B"/>
    <w:rsid w:val="00F124A9"/>
    <w:rsid w:val="00F130CA"/>
    <w:rsid w:val="00F13312"/>
    <w:rsid w:val="00F14A97"/>
    <w:rsid w:val="00F1562A"/>
    <w:rsid w:val="00F15660"/>
    <w:rsid w:val="00F1584D"/>
    <w:rsid w:val="00F15B32"/>
    <w:rsid w:val="00F167B3"/>
    <w:rsid w:val="00F16F76"/>
    <w:rsid w:val="00F17002"/>
    <w:rsid w:val="00F17C7F"/>
    <w:rsid w:val="00F209F1"/>
    <w:rsid w:val="00F2258B"/>
    <w:rsid w:val="00F22BC0"/>
    <w:rsid w:val="00F26A0C"/>
    <w:rsid w:val="00F26BE3"/>
    <w:rsid w:val="00F27366"/>
    <w:rsid w:val="00F27DD6"/>
    <w:rsid w:val="00F27DF8"/>
    <w:rsid w:val="00F30155"/>
    <w:rsid w:val="00F31AC7"/>
    <w:rsid w:val="00F31FCB"/>
    <w:rsid w:val="00F33A56"/>
    <w:rsid w:val="00F3533B"/>
    <w:rsid w:val="00F35363"/>
    <w:rsid w:val="00F3653E"/>
    <w:rsid w:val="00F36C48"/>
    <w:rsid w:val="00F36E0D"/>
    <w:rsid w:val="00F40CBF"/>
    <w:rsid w:val="00F40E87"/>
    <w:rsid w:val="00F40F9B"/>
    <w:rsid w:val="00F445D1"/>
    <w:rsid w:val="00F44FF2"/>
    <w:rsid w:val="00F457A7"/>
    <w:rsid w:val="00F459FF"/>
    <w:rsid w:val="00F46952"/>
    <w:rsid w:val="00F46FE6"/>
    <w:rsid w:val="00F47032"/>
    <w:rsid w:val="00F474FE"/>
    <w:rsid w:val="00F4776D"/>
    <w:rsid w:val="00F50279"/>
    <w:rsid w:val="00F50642"/>
    <w:rsid w:val="00F508BA"/>
    <w:rsid w:val="00F50EE4"/>
    <w:rsid w:val="00F512DD"/>
    <w:rsid w:val="00F514D7"/>
    <w:rsid w:val="00F527E0"/>
    <w:rsid w:val="00F5320D"/>
    <w:rsid w:val="00F54E53"/>
    <w:rsid w:val="00F553E9"/>
    <w:rsid w:val="00F57944"/>
    <w:rsid w:val="00F57B9E"/>
    <w:rsid w:val="00F6171F"/>
    <w:rsid w:val="00F61AE3"/>
    <w:rsid w:val="00F62060"/>
    <w:rsid w:val="00F628D4"/>
    <w:rsid w:val="00F631FC"/>
    <w:rsid w:val="00F63C56"/>
    <w:rsid w:val="00F646D6"/>
    <w:rsid w:val="00F64932"/>
    <w:rsid w:val="00F64B9F"/>
    <w:rsid w:val="00F6523C"/>
    <w:rsid w:val="00F66635"/>
    <w:rsid w:val="00F66958"/>
    <w:rsid w:val="00F66F2F"/>
    <w:rsid w:val="00F6704B"/>
    <w:rsid w:val="00F675D1"/>
    <w:rsid w:val="00F709E3"/>
    <w:rsid w:val="00F72289"/>
    <w:rsid w:val="00F7281F"/>
    <w:rsid w:val="00F73798"/>
    <w:rsid w:val="00F748FC"/>
    <w:rsid w:val="00F75135"/>
    <w:rsid w:val="00F7520B"/>
    <w:rsid w:val="00F76047"/>
    <w:rsid w:val="00F76A3C"/>
    <w:rsid w:val="00F7727E"/>
    <w:rsid w:val="00F77790"/>
    <w:rsid w:val="00F8027B"/>
    <w:rsid w:val="00F80E07"/>
    <w:rsid w:val="00F81CFE"/>
    <w:rsid w:val="00F84F30"/>
    <w:rsid w:val="00F84F33"/>
    <w:rsid w:val="00F86DE6"/>
    <w:rsid w:val="00F86FC9"/>
    <w:rsid w:val="00F87087"/>
    <w:rsid w:val="00F873F4"/>
    <w:rsid w:val="00F878BF"/>
    <w:rsid w:val="00F87CED"/>
    <w:rsid w:val="00F901E8"/>
    <w:rsid w:val="00F90DC8"/>
    <w:rsid w:val="00F936A6"/>
    <w:rsid w:val="00F93C1D"/>
    <w:rsid w:val="00F9496F"/>
    <w:rsid w:val="00F94B57"/>
    <w:rsid w:val="00F95D99"/>
    <w:rsid w:val="00F9716C"/>
    <w:rsid w:val="00F97F22"/>
    <w:rsid w:val="00FA34D5"/>
    <w:rsid w:val="00FA51F5"/>
    <w:rsid w:val="00FA520F"/>
    <w:rsid w:val="00FA5F57"/>
    <w:rsid w:val="00FA6146"/>
    <w:rsid w:val="00FA6A3B"/>
    <w:rsid w:val="00FA77DE"/>
    <w:rsid w:val="00FB0EDA"/>
    <w:rsid w:val="00FB108B"/>
    <w:rsid w:val="00FB199C"/>
    <w:rsid w:val="00FB1B41"/>
    <w:rsid w:val="00FB298E"/>
    <w:rsid w:val="00FB2E21"/>
    <w:rsid w:val="00FB3CA2"/>
    <w:rsid w:val="00FB56C9"/>
    <w:rsid w:val="00FB6F84"/>
    <w:rsid w:val="00FB742F"/>
    <w:rsid w:val="00FC1ECE"/>
    <w:rsid w:val="00FC451C"/>
    <w:rsid w:val="00FC5265"/>
    <w:rsid w:val="00FC5AB9"/>
    <w:rsid w:val="00FC6260"/>
    <w:rsid w:val="00FC6CAD"/>
    <w:rsid w:val="00FC788F"/>
    <w:rsid w:val="00FD0B33"/>
    <w:rsid w:val="00FD1139"/>
    <w:rsid w:val="00FD1147"/>
    <w:rsid w:val="00FD295C"/>
    <w:rsid w:val="00FD3793"/>
    <w:rsid w:val="00FD3884"/>
    <w:rsid w:val="00FD3C37"/>
    <w:rsid w:val="00FD462C"/>
    <w:rsid w:val="00FD5E67"/>
    <w:rsid w:val="00FD75EA"/>
    <w:rsid w:val="00FD77CC"/>
    <w:rsid w:val="00FD7F32"/>
    <w:rsid w:val="00FE22A4"/>
    <w:rsid w:val="00FE2A2F"/>
    <w:rsid w:val="00FE2BD9"/>
    <w:rsid w:val="00FE2CF0"/>
    <w:rsid w:val="00FE3003"/>
    <w:rsid w:val="00FE322F"/>
    <w:rsid w:val="00FE32A7"/>
    <w:rsid w:val="00FE34D2"/>
    <w:rsid w:val="00FE4534"/>
    <w:rsid w:val="00FE5437"/>
    <w:rsid w:val="00FE67EB"/>
    <w:rsid w:val="00FE7B0E"/>
    <w:rsid w:val="00FF148E"/>
    <w:rsid w:val="00FF1D21"/>
    <w:rsid w:val="00FF2410"/>
    <w:rsid w:val="00FF38BE"/>
    <w:rsid w:val="00FF3DE2"/>
    <w:rsid w:val="00FF555A"/>
    <w:rsid w:val="00FF61B4"/>
    <w:rsid w:val="00FF6360"/>
    <w:rsid w:val="00FF64C9"/>
    <w:rsid w:val="00FF723C"/>
    <w:rsid w:val="00FF7802"/>
    <w:rsid w:val="016C78CA"/>
    <w:rsid w:val="01852DFE"/>
    <w:rsid w:val="0279243D"/>
    <w:rsid w:val="02C65791"/>
    <w:rsid w:val="02DF1CB8"/>
    <w:rsid w:val="045365BF"/>
    <w:rsid w:val="045E7136"/>
    <w:rsid w:val="04AD22BF"/>
    <w:rsid w:val="04EA1C94"/>
    <w:rsid w:val="04ED410A"/>
    <w:rsid w:val="04F42644"/>
    <w:rsid w:val="04F52C58"/>
    <w:rsid w:val="051C58FB"/>
    <w:rsid w:val="052B1899"/>
    <w:rsid w:val="05C4794A"/>
    <w:rsid w:val="068F102A"/>
    <w:rsid w:val="06AF5636"/>
    <w:rsid w:val="07121304"/>
    <w:rsid w:val="07366399"/>
    <w:rsid w:val="075655CD"/>
    <w:rsid w:val="08901A3C"/>
    <w:rsid w:val="08AA169F"/>
    <w:rsid w:val="08E5350A"/>
    <w:rsid w:val="08E7110E"/>
    <w:rsid w:val="090F59D5"/>
    <w:rsid w:val="099E5FEC"/>
    <w:rsid w:val="09EB1114"/>
    <w:rsid w:val="0A0941A3"/>
    <w:rsid w:val="0A821835"/>
    <w:rsid w:val="0A823BCE"/>
    <w:rsid w:val="0AD017D9"/>
    <w:rsid w:val="0ADD3E4D"/>
    <w:rsid w:val="0B0D1E2A"/>
    <w:rsid w:val="0C095C04"/>
    <w:rsid w:val="0C4043BE"/>
    <w:rsid w:val="0C5D0661"/>
    <w:rsid w:val="0DDE3255"/>
    <w:rsid w:val="0E0B11B5"/>
    <w:rsid w:val="0E2347D9"/>
    <w:rsid w:val="0E287B23"/>
    <w:rsid w:val="0E7E4EAA"/>
    <w:rsid w:val="0E9D2A51"/>
    <w:rsid w:val="0EBC6AD9"/>
    <w:rsid w:val="0EC75A69"/>
    <w:rsid w:val="0EC77252"/>
    <w:rsid w:val="0EC80BF9"/>
    <w:rsid w:val="0EFE328B"/>
    <w:rsid w:val="0F6B5E51"/>
    <w:rsid w:val="0FB63A1E"/>
    <w:rsid w:val="0FC53599"/>
    <w:rsid w:val="0FCF50F3"/>
    <w:rsid w:val="0FDD43B8"/>
    <w:rsid w:val="10B1719D"/>
    <w:rsid w:val="117149B0"/>
    <w:rsid w:val="124619C1"/>
    <w:rsid w:val="12DE45A5"/>
    <w:rsid w:val="12E32E87"/>
    <w:rsid w:val="135D10B5"/>
    <w:rsid w:val="13810EF6"/>
    <w:rsid w:val="138F28CD"/>
    <w:rsid w:val="13FF3E56"/>
    <w:rsid w:val="14245C67"/>
    <w:rsid w:val="14AB4A16"/>
    <w:rsid w:val="14F10A8F"/>
    <w:rsid w:val="1552348E"/>
    <w:rsid w:val="1568545E"/>
    <w:rsid w:val="15C73EFC"/>
    <w:rsid w:val="15D34761"/>
    <w:rsid w:val="161A0E01"/>
    <w:rsid w:val="16785D6B"/>
    <w:rsid w:val="16AD27AD"/>
    <w:rsid w:val="16DA101C"/>
    <w:rsid w:val="17490F7D"/>
    <w:rsid w:val="18110EC3"/>
    <w:rsid w:val="18EC5071"/>
    <w:rsid w:val="19721233"/>
    <w:rsid w:val="1A4972CB"/>
    <w:rsid w:val="1A986113"/>
    <w:rsid w:val="1AD8035A"/>
    <w:rsid w:val="1ADB1A9A"/>
    <w:rsid w:val="1AE06F20"/>
    <w:rsid w:val="1AF753D1"/>
    <w:rsid w:val="1B2E7013"/>
    <w:rsid w:val="1B8454C9"/>
    <w:rsid w:val="1BD947C4"/>
    <w:rsid w:val="1C3266E4"/>
    <w:rsid w:val="1C442346"/>
    <w:rsid w:val="1C4F4951"/>
    <w:rsid w:val="1CA73BAA"/>
    <w:rsid w:val="1D6A01E9"/>
    <w:rsid w:val="1DE5281A"/>
    <w:rsid w:val="1DE73DEA"/>
    <w:rsid w:val="1E3121D6"/>
    <w:rsid w:val="1E4C485B"/>
    <w:rsid w:val="1E6B047C"/>
    <w:rsid w:val="1E9D4651"/>
    <w:rsid w:val="1EB37B07"/>
    <w:rsid w:val="1FC67FD6"/>
    <w:rsid w:val="207B38ED"/>
    <w:rsid w:val="20A76F0C"/>
    <w:rsid w:val="22717C56"/>
    <w:rsid w:val="22DD3B4E"/>
    <w:rsid w:val="23024FAC"/>
    <w:rsid w:val="23E61ACD"/>
    <w:rsid w:val="240D7D7D"/>
    <w:rsid w:val="24B4415A"/>
    <w:rsid w:val="25355AB9"/>
    <w:rsid w:val="253A06C6"/>
    <w:rsid w:val="2569528D"/>
    <w:rsid w:val="25A928DD"/>
    <w:rsid w:val="25C8177D"/>
    <w:rsid w:val="25DB1877"/>
    <w:rsid w:val="262779D7"/>
    <w:rsid w:val="26D63D81"/>
    <w:rsid w:val="27253CCB"/>
    <w:rsid w:val="272920E6"/>
    <w:rsid w:val="27BF2EC7"/>
    <w:rsid w:val="2801461F"/>
    <w:rsid w:val="283E52B7"/>
    <w:rsid w:val="288D4B34"/>
    <w:rsid w:val="288F5AD7"/>
    <w:rsid w:val="289A3CCC"/>
    <w:rsid w:val="29313977"/>
    <w:rsid w:val="29326511"/>
    <w:rsid w:val="29336AB4"/>
    <w:rsid w:val="294F216B"/>
    <w:rsid w:val="29CD7245"/>
    <w:rsid w:val="2A421A6C"/>
    <w:rsid w:val="2AB45062"/>
    <w:rsid w:val="2ADC4ABE"/>
    <w:rsid w:val="2B0109D8"/>
    <w:rsid w:val="2B2519FD"/>
    <w:rsid w:val="2B3E77E1"/>
    <w:rsid w:val="2B4F6B1B"/>
    <w:rsid w:val="2B53455A"/>
    <w:rsid w:val="2C350635"/>
    <w:rsid w:val="2C4B271E"/>
    <w:rsid w:val="2CCE7632"/>
    <w:rsid w:val="2D253918"/>
    <w:rsid w:val="2D4D769E"/>
    <w:rsid w:val="2D7D5BD0"/>
    <w:rsid w:val="2D8323C7"/>
    <w:rsid w:val="2E184BEB"/>
    <w:rsid w:val="2E2B77B3"/>
    <w:rsid w:val="2E8C3081"/>
    <w:rsid w:val="2ED65C7A"/>
    <w:rsid w:val="2EDB7D2B"/>
    <w:rsid w:val="2EE053E6"/>
    <w:rsid w:val="2F6C1EC4"/>
    <w:rsid w:val="2FAB6E89"/>
    <w:rsid w:val="2FCB5CA4"/>
    <w:rsid w:val="305E61EA"/>
    <w:rsid w:val="30933008"/>
    <w:rsid w:val="30E604A7"/>
    <w:rsid w:val="313439D6"/>
    <w:rsid w:val="315931B3"/>
    <w:rsid w:val="315A3C5F"/>
    <w:rsid w:val="31791FCE"/>
    <w:rsid w:val="31F40390"/>
    <w:rsid w:val="329534AB"/>
    <w:rsid w:val="331F1F5B"/>
    <w:rsid w:val="334E3234"/>
    <w:rsid w:val="33562AEC"/>
    <w:rsid w:val="33795200"/>
    <w:rsid w:val="33D81040"/>
    <w:rsid w:val="34C54D83"/>
    <w:rsid w:val="34C670B4"/>
    <w:rsid w:val="34DB19BC"/>
    <w:rsid w:val="34F52436"/>
    <w:rsid w:val="356566B5"/>
    <w:rsid w:val="35C04083"/>
    <w:rsid w:val="36AF2EDD"/>
    <w:rsid w:val="36BF1B01"/>
    <w:rsid w:val="3706304E"/>
    <w:rsid w:val="37187BB5"/>
    <w:rsid w:val="372829B8"/>
    <w:rsid w:val="37465815"/>
    <w:rsid w:val="389A4F3B"/>
    <w:rsid w:val="38A0168F"/>
    <w:rsid w:val="394E4EDA"/>
    <w:rsid w:val="3AB65300"/>
    <w:rsid w:val="3AE70C31"/>
    <w:rsid w:val="3AF603E4"/>
    <w:rsid w:val="3B03011E"/>
    <w:rsid w:val="3B2A4933"/>
    <w:rsid w:val="3BD51D58"/>
    <w:rsid w:val="3C2708E7"/>
    <w:rsid w:val="3C275639"/>
    <w:rsid w:val="3CB378E8"/>
    <w:rsid w:val="3CF43F73"/>
    <w:rsid w:val="3D0668B8"/>
    <w:rsid w:val="3D1A2A8B"/>
    <w:rsid w:val="3DDF56CB"/>
    <w:rsid w:val="3E5E49FC"/>
    <w:rsid w:val="3E6D6CDA"/>
    <w:rsid w:val="3F3C38C2"/>
    <w:rsid w:val="3F6B4A75"/>
    <w:rsid w:val="402A6942"/>
    <w:rsid w:val="40725FFD"/>
    <w:rsid w:val="40750C78"/>
    <w:rsid w:val="40925A6E"/>
    <w:rsid w:val="40B25833"/>
    <w:rsid w:val="40C95B82"/>
    <w:rsid w:val="4100574E"/>
    <w:rsid w:val="41007F6B"/>
    <w:rsid w:val="41067541"/>
    <w:rsid w:val="418356D1"/>
    <w:rsid w:val="41F82C42"/>
    <w:rsid w:val="43A43E69"/>
    <w:rsid w:val="44062F51"/>
    <w:rsid w:val="44AB44E6"/>
    <w:rsid w:val="44B56A68"/>
    <w:rsid w:val="44B815A3"/>
    <w:rsid w:val="45642DCE"/>
    <w:rsid w:val="45890EF9"/>
    <w:rsid w:val="46EC7324"/>
    <w:rsid w:val="477B59E7"/>
    <w:rsid w:val="47D36F0A"/>
    <w:rsid w:val="48911FFE"/>
    <w:rsid w:val="489C66C2"/>
    <w:rsid w:val="490B68F9"/>
    <w:rsid w:val="499F5430"/>
    <w:rsid w:val="4A580349"/>
    <w:rsid w:val="4A794457"/>
    <w:rsid w:val="4AA41376"/>
    <w:rsid w:val="4ACD7C6B"/>
    <w:rsid w:val="4BEB334F"/>
    <w:rsid w:val="4C015D81"/>
    <w:rsid w:val="4C0A1FB1"/>
    <w:rsid w:val="4C4B1178"/>
    <w:rsid w:val="4C4F2B8E"/>
    <w:rsid w:val="4CD500E5"/>
    <w:rsid w:val="4CE72154"/>
    <w:rsid w:val="4D0E36A0"/>
    <w:rsid w:val="4D4F7FCD"/>
    <w:rsid w:val="4DB62D12"/>
    <w:rsid w:val="4E004C36"/>
    <w:rsid w:val="4E055508"/>
    <w:rsid w:val="4E307002"/>
    <w:rsid w:val="4E641AF7"/>
    <w:rsid w:val="4EA661B6"/>
    <w:rsid w:val="4EC14703"/>
    <w:rsid w:val="4F411DCA"/>
    <w:rsid w:val="4F597260"/>
    <w:rsid w:val="4F5C54C5"/>
    <w:rsid w:val="4F745AD2"/>
    <w:rsid w:val="4FCD27E6"/>
    <w:rsid w:val="50434312"/>
    <w:rsid w:val="50485C19"/>
    <w:rsid w:val="50D2381E"/>
    <w:rsid w:val="510A61BF"/>
    <w:rsid w:val="51110365"/>
    <w:rsid w:val="511A4BCE"/>
    <w:rsid w:val="51227DCD"/>
    <w:rsid w:val="51250598"/>
    <w:rsid w:val="514473F7"/>
    <w:rsid w:val="51E41426"/>
    <w:rsid w:val="520233B7"/>
    <w:rsid w:val="524744FD"/>
    <w:rsid w:val="524E22AB"/>
    <w:rsid w:val="52686D40"/>
    <w:rsid w:val="53130572"/>
    <w:rsid w:val="53424DA9"/>
    <w:rsid w:val="53991E61"/>
    <w:rsid w:val="5423173A"/>
    <w:rsid w:val="545031A4"/>
    <w:rsid w:val="545619F7"/>
    <w:rsid w:val="54A50EA0"/>
    <w:rsid w:val="569C4F02"/>
    <w:rsid w:val="56A0484E"/>
    <w:rsid w:val="56CC7309"/>
    <w:rsid w:val="56FA1E56"/>
    <w:rsid w:val="578955E9"/>
    <w:rsid w:val="579728E4"/>
    <w:rsid w:val="57EC4BE4"/>
    <w:rsid w:val="57F75832"/>
    <w:rsid w:val="57FB3654"/>
    <w:rsid w:val="58001C73"/>
    <w:rsid w:val="58234848"/>
    <w:rsid w:val="58B72EE7"/>
    <w:rsid w:val="593944ED"/>
    <w:rsid w:val="596F7ED0"/>
    <w:rsid w:val="59863100"/>
    <w:rsid w:val="5AF11C3B"/>
    <w:rsid w:val="5B7E38A2"/>
    <w:rsid w:val="5C267C12"/>
    <w:rsid w:val="5C90476C"/>
    <w:rsid w:val="5CDE18E4"/>
    <w:rsid w:val="5D1E5B45"/>
    <w:rsid w:val="5D45533B"/>
    <w:rsid w:val="5F0C1B05"/>
    <w:rsid w:val="5FBC128B"/>
    <w:rsid w:val="6020718B"/>
    <w:rsid w:val="603D3418"/>
    <w:rsid w:val="60BC542E"/>
    <w:rsid w:val="60BF488A"/>
    <w:rsid w:val="60CF3766"/>
    <w:rsid w:val="6131295C"/>
    <w:rsid w:val="613F381A"/>
    <w:rsid w:val="617154E9"/>
    <w:rsid w:val="61A8766C"/>
    <w:rsid w:val="629B67EA"/>
    <w:rsid w:val="62AD5645"/>
    <w:rsid w:val="62AE3A92"/>
    <w:rsid w:val="62B207B7"/>
    <w:rsid w:val="62DE5D3A"/>
    <w:rsid w:val="63111115"/>
    <w:rsid w:val="632B4E18"/>
    <w:rsid w:val="63A777D7"/>
    <w:rsid w:val="63C32D6E"/>
    <w:rsid w:val="63E22DD9"/>
    <w:rsid w:val="63E80357"/>
    <w:rsid w:val="65486A40"/>
    <w:rsid w:val="65DF092C"/>
    <w:rsid w:val="6667626F"/>
    <w:rsid w:val="666A7F63"/>
    <w:rsid w:val="66B874D7"/>
    <w:rsid w:val="66DE5E04"/>
    <w:rsid w:val="678A1B9E"/>
    <w:rsid w:val="678E2641"/>
    <w:rsid w:val="686314A1"/>
    <w:rsid w:val="686C1F95"/>
    <w:rsid w:val="68834DAA"/>
    <w:rsid w:val="688837AD"/>
    <w:rsid w:val="68A50FA1"/>
    <w:rsid w:val="693B15E9"/>
    <w:rsid w:val="697E46BC"/>
    <w:rsid w:val="69943B8E"/>
    <w:rsid w:val="69E65E80"/>
    <w:rsid w:val="6A781178"/>
    <w:rsid w:val="6AE271B9"/>
    <w:rsid w:val="6B3B318E"/>
    <w:rsid w:val="6B477910"/>
    <w:rsid w:val="6B8A7E56"/>
    <w:rsid w:val="6BA80701"/>
    <w:rsid w:val="6BA94B30"/>
    <w:rsid w:val="6BE91961"/>
    <w:rsid w:val="6C2962B0"/>
    <w:rsid w:val="6D2F09BD"/>
    <w:rsid w:val="6D484EAB"/>
    <w:rsid w:val="6D6C4DD7"/>
    <w:rsid w:val="6D72442E"/>
    <w:rsid w:val="6DB469D2"/>
    <w:rsid w:val="6DCC248E"/>
    <w:rsid w:val="6E2C2876"/>
    <w:rsid w:val="6E9200FF"/>
    <w:rsid w:val="6EA973B2"/>
    <w:rsid w:val="6EBC7533"/>
    <w:rsid w:val="6EE319E1"/>
    <w:rsid w:val="6F1E0914"/>
    <w:rsid w:val="6F6D1AB4"/>
    <w:rsid w:val="6F856EC0"/>
    <w:rsid w:val="6F90596F"/>
    <w:rsid w:val="6FAA02E2"/>
    <w:rsid w:val="6FBC1941"/>
    <w:rsid w:val="70036CDC"/>
    <w:rsid w:val="703E4DAB"/>
    <w:rsid w:val="706E6CD4"/>
    <w:rsid w:val="7076170D"/>
    <w:rsid w:val="70C071E9"/>
    <w:rsid w:val="70C61328"/>
    <w:rsid w:val="70C9588B"/>
    <w:rsid w:val="72690C3E"/>
    <w:rsid w:val="72695938"/>
    <w:rsid w:val="72F82A87"/>
    <w:rsid w:val="73084583"/>
    <w:rsid w:val="732D0CB7"/>
    <w:rsid w:val="73453927"/>
    <w:rsid w:val="737A08D8"/>
    <w:rsid w:val="73975920"/>
    <w:rsid w:val="74A66624"/>
    <w:rsid w:val="74E10127"/>
    <w:rsid w:val="751E5409"/>
    <w:rsid w:val="75557892"/>
    <w:rsid w:val="75634621"/>
    <w:rsid w:val="7620193D"/>
    <w:rsid w:val="76E95B6F"/>
    <w:rsid w:val="76FC1C9E"/>
    <w:rsid w:val="77080B72"/>
    <w:rsid w:val="7751726B"/>
    <w:rsid w:val="77AE2FA5"/>
    <w:rsid w:val="78047EEC"/>
    <w:rsid w:val="785519E1"/>
    <w:rsid w:val="788B449D"/>
    <w:rsid w:val="792D043A"/>
    <w:rsid w:val="7955622C"/>
    <w:rsid w:val="797870AF"/>
    <w:rsid w:val="798652DA"/>
    <w:rsid w:val="7A0A66D7"/>
    <w:rsid w:val="7A2C699B"/>
    <w:rsid w:val="7A652848"/>
    <w:rsid w:val="7AC61A0A"/>
    <w:rsid w:val="7AEA2C65"/>
    <w:rsid w:val="7B2D46B5"/>
    <w:rsid w:val="7B62383C"/>
    <w:rsid w:val="7BA14033"/>
    <w:rsid w:val="7BE267A8"/>
    <w:rsid w:val="7BF618F0"/>
    <w:rsid w:val="7C324CC6"/>
    <w:rsid w:val="7CF41D3C"/>
    <w:rsid w:val="7D6839C0"/>
    <w:rsid w:val="7D9D0DA0"/>
    <w:rsid w:val="7E2D0714"/>
    <w:rsid w:val="7E784B84"/>
    <w:rsid w:val="7EF96465"/>
    <w:rsid w:val="7EFC7E58"/>
    <w:rsid w:val="7FF16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0"/>
      <w:ind w:firstLine="420"/>
    </w:pPr>
    <w:rPr>
      <w:rFonts w:eastAsia="楷体_GB2312"/>
      <w:sz w:val="32"/>
    </w:rPr>
  </w:style>
  <w:style w:type="paragraph" w:styleId="3">
    <w:name w:val="Body Text"/>
    <w:basedOn w:val="1"/>
    <w:next w:val="4"/>
    <w:link w:val="22"/>
    <w:qFormat/>
    <w:uiPriority w:val="0"/>
    <w:pPr>
      <w:widowControl/>
      <w:spacing w:after="120" w:line="360" w:lineRule="auto"/>
      <w:ind w:firstLine="562" w:firstLineChars="200"/>
      <w:jc w:val="left"/>
    </w:pPr>
    <w:rPr>
      <w:rFonts w:eastAsia="方正仿宋_GB2312"/>
      <w:kern w:val="0"/>
      <w:sz w:val="30"/>
    </w:rPr>
  </w:style>
  <w:style w:type="paragraph" w:styleId="4">
    <w:name w:val="Title"/>
    <w:basedOn w:val="1"/>
    <w:next w:val="1"/>
    <w:qFormat/>
    <w:uiPriority w:val="0"/>
    <w:pPr>
      <w:spacing w:before="240" w:after="60"/>
      <w:jc w:val="center"/>
      <w:textAlignment w:val="baseline"/>
    </w:pPr>
    <w:rPr>
      <w:rFonts w:ascii="Cambria" w:hAnsi="Cambria" w:eastAsia="仿宋" w:cs="Times New Roman"/>
      <w:b/>
      <w:bCs/>
      <w:szCs w:val="32"/>
    </w:rPr>
  </w:style>
  <w:style w:type="paragraph" w:styleId="5">
    <w:name w:val="Document Map"/>
    <w:basedOn w:val="1"/>
    <w:link w:val="20"/>
    <w:semiHidden/>
    <w:unhideWhenUsed/>
    <w:qFormat/>
    <w:uiPriority w:val="99"/>
    <w:rPr>
      <w:rFonts w:ascii="宋体" w:eastAsia="宋体"/>
      <w:sz w:val="18"/>
      <w:szCs w:val="18"/>
    </w:rPr>
  </w:style>
  <w:style w:type="paragraph" w:styleId="6">
    <w:name w:val="annotation text"/>
    <w:basedOn w:val="1"/>
    <w:semiHidden/>
    <w:unhideWhenUsed/>
    <w:qFormat/>
    <w:uiPriority w:val="99"/>
    <w:pPr>
      <w:jc w:val="left"/>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paragraph" w:customStyle="1" w:styleId="19">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文档结构图 字符"/>
    <w:basedOn w:val="13"/>
    <w:link w:val="5"/>
    <w:semiHidden/>
    <w:qFormat/>
    <w:uiPriority w:val="99"/>
    <w:rPr>
      <w:rFonts w:ascii="宋体" w:eastAsia="宋体"/>
      <w:sz w:val="18"/>
      <w:szCs w:val="18"/>
    </w:rPr>
  </w:style>
  <w:style w:type="character" w:customStyle="1" w:styleId="21">
    <w:name w:val="批注框文本 字符"/>
    <w:basedOn w:val="13"/>
    <w:link w:val="7"/>
    <w:semiHidden/>
    <w:qFormat/>
    <w:uiPriority w:val="99"/>
    <w:rPr>
      <w:sz w:val="18"/>
      <w:szCs w:val="18"/>
    </w:rPr>
  </w:style>
  <w:style w:type="character" w:customStyle="1" w:styleId="22">
    <w:name w:val="正文文本 字符"/>
    <w:basedOn w:val="13"/>
    <w:link w:val="3"/>
    <w:qFormat/>
    <w:uiPriority w:val="0"/>
    <w:rPr>
      <w:rFonts w:eastAsia="方正仿宋_GB2312"/>
      <w:kern w:val="0"/>
      <w:sz w:val="30"/>
    </w:rPr>
  </w:style>
  <w:style w:type="character" w:styleId="23">
    <w:name w:val="Placeholder Text"/>
    <w:basedOn w:val="13"/>
    <w:semiHidden/>
    <w:qFormat/>
    <w:uiPriority w:val="99"/>
    <w:rPr>
      <w:color w:val="808080"/>
    </w:rPr>
  </w:style>
  <w:style w:type="paragraph" w:customStyle="1" w:styleId="24">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5">
    <w:name w:val="font31"/>
    <w:basedOn w:val="13"/>
    <w:qFormat/>
    <w:uiPriority w:val="0"/>
    <w:rPr>
      <w:rFonts w:hint="default" w:ascii="Times New Roman" w:hAnsi="Times New Roman" w:cs="Times New Roman"/>
      <w:color w:val="000000"/>
      <w:sz w:val="22"/>
      <w:szCs w:val="22"/>
      <w:u w:val="none"/>
    </w:rPr>
  </w:style>
  <w:style w:type="character" w:customStyle="1" w:styleId="26">
    <w:name w:val="font51"/>
    <w:basedOn w:val="13"/>
    <w:qFormat/>
    <w:uiPriority w:val="0"/>
    <w:rPr>
      <w:rFonts w:ascii="方正仿宋_GBK" w:hAnsi="方正仿宋_GBK" w:eastAsia="方正仿宋_GBK" w:cs="方正仿宋_GBK"/>
      <w:color w:val="000000"/>
      <w:sz w:val="22"/>
      <w:szCs w:val="22"/>
      <w:u w:val="none"/>
    </w:rPr>
  </w:style>
  <w:style w:type="character" w:customStyle="1" w:styleId="27">
    <w:name w:val="font01"/>
    <w:basedOn w:val="13"/>
    <w:qFormat/>
    <w:uiPriority w:val="0"/>
    <w:rPr>
      <w:rFonts w:hint="eastAsia" w:ascii="宋体" w:hAnsi="宋体" w:eastAsia="宋体" w:cs="宋体"/>
      <w:color w:val="000000"/>
      <w:sz w:val="22"/>
      <w:szCs w:val="22"/>
      <w:u w:val="none"/>
    </w:rPr>
  </w:style>
  <w:style w:type="paragraph" w:customStyle="1" w:styleId="28">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29">
    <w:name w:val="A7+1"/>
    <w:qFormat/>
    <w:uiPriority w:val="99"/>
    <w:rPr>
      <w:rFonts w:cs="...."/>
      <w:color w:val="221E1F"/>
      <w:sz w:val="21"/>
      <w:szCs w:val="21"/>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8FF62-392C-4690-AEA5-744C008A9C1D}">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33</Pages>
  <Words>15170</Words>
  <Characters>15557</Characters>
  <Lines>114</Lines>
  <Paragraphs>32</Paragraphs>
  <TotalTime>2</TotalTime>
  <ScaleCrop>false</ScaleCrop>
  <LinksUpToDate>false</LinksUpToDate>
  <CharactersWithSpaces>15720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2023-02-16T01:03:00Z</dcterms:created>
  <dc:creator>实验教学与固定资产管</dc:creator>
  <cp:lastModifiedBy>吴静</cp:lastModifiedBy>
  <cp:lastPrinted>2023-08-17T07:54:00Z</cp:lastPrinted>
  <dcterms:modified xsi:type="dcterms:W3CDTF">2023-09-27T09:49:56Z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3260043B6E6146E2B46B24A92F6521E3</vt:lpwstr>
  </property>
</Properties>
</file>