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cs="方正小标宋简体" w:asciiTheme="majorEastAsia" w:hAnsiTheme="majorEastAsia" w:eastAsiaTheme="majorEastAsia"/>
          <w:kern w:val="0"/>
          <w:sz w:val="44"/>
          <w:szCs w:val="44"/>
        </w:rPr>
      </w:pPr>
    </w:p>
    <w:p>
      <w:pPr>
        <w:spacing w:line="560" w:lineRule="exact"/>
        <w:jc w:val="center"/>
        <w:rPr>
          <w:rFonts w:cs="方正小标宋简体" w:asciiTheme="majorEastAsia" w:hAnsiTheme="majorEastAsia" w:eastAsiaTheme="majorEastAsia"/>
          <w:kern w:val="0"/>
          <w:sz w:val="44"/>
          <w:szCs w:val="44"/>
          <w:highlight w:val="none"/>
        </w:rPr>
      </w:pPr>
      <w:r>
        <w:rPr>
          <w:rFonts w:hint="eastAsia" w:cs="方正小标宋简体" w:asciiTheme="majorEastAsia" w:hAnsiTheme="majorEastAsia" w:eastAsiaTheme="majorEastAsia"/>
          <w:kern w:val="0"/>
          <w:sz w:val="44"/>
          <w:szCs w:val="44"/>
          <w:highlight w:val="none"/>
        </w:rPr>
        <w:t>柳州市收回国有空地建设用地</w:t>
      </w:r>
    </w:p>
    <w:p>
      <w:pPr>
        <w:spacing w:line="560" w:lineRule="exact"/>
        <w:jc w:val="center"/>
        <w:rPr>
          <w:rFonts w:cs="方正小标宋简体" w:asciiTheme="majorEastAsia" w:hAnsiTheme="majorEastAsia" w:eastAsiaTheme="majorEastAsia"/>
          <w:highlight w:val="none"/>
        </w:rPr>
      </w:pPr>
      <w:r>
        <w:rPr>
          <w:rFonts w:hint="eastAsia" w:cs="方正小标宋简体" w:asciiTheme="majorEastAsia" w:hAnsiTheme="majorEastAsia" w:eastAsiaTheme="majorEastAsia"/>
          <w:kern w:val="0"/>
          <w:sz w:val="44"/>
          <w:szCs w:val="44"/>
          <w:highlight w:val="none"/>
        </w:rPr>
        <w:t>使用权补偿指导意见</w:t>
      </w:r>
    </w:p>
    <w:p>
      <w:pPr>
        <w:spacing w:line="560" w:lineRule="exact"/>
        <w:jc w:val="center"/>
        <w:rPr>
          <w:rFonts w:ascii="仿宋" w:hAnsi="仿宋" w:eastAsia="仿宋" w:cs="Times New Roman"/>
          <w:sz w:val="32"/>
          <w:szCs w:val="32"/>
          <w:highlight w:val="none"/>
        </w:rPr>
      </w:pPr>
      <w:r>
        <w:rPr>
          <w:rFonts w:hint="eastAsia" w:ascii="仿宋" w:hAnsi="仿宋" w:eastAsia="仿宋" w:cs="Times New Roman"/>
          <w:sz w:val="32"/>
          <w:szCs w:val="32"/>
          <w:highlight w:val="none"/>
        </w:rPr>
        <w:t>（征求意见稿）</w:t>
      </w:r>
    </w:p>
    <w:p>
      <w:pPr>
        <w:spacing w:line="560" w:lineRule="exact"/>
        <w:rPr>
          <w:rFonts w:ascii="仿宋" w:hAnsi="仿宋"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800" w:firstLineChars="25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bookmarkStart w:id="0" w:name="_GoBack"/>
      <w:r>
        <w:rPr>
          <w:rFonts w:ascii="仿宋" w:hAnsi="仿宋" w:eastAsia="仿宋" w:cs="Times New Roman"/>
          <w:b w:val="0"/>
          <w:bCs/>
          <w:color w:val="000000" w:themeColor="text1"/>
          <w:sz w:val="32"/>
          <w:szCs w:val="32"/>
          <w:highlight w:val="none"/>
          <w:u w:val="none"/>
          <w14:textFill>
            <w14:solidFill>
              <w14:schemeClr w14:val="tx1"/>
            </w14:solidFill>
          </w14:textFill>
        </w:rPr>
        <w:t>第一条 为规范本市收回国有空地建设用地使用权（以下简称“国有空地”）补偿的工作，依据《中华人民共和国土地管理法》《国有土地上房屋征收与补偿条例》（国务院令第590号）以及柳州市有关政策文件规定，制定本指导意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第二条 本指导意见适用于柳州市市辖各城区（新区）范围内收回国有空地补偿的工作；收回闲置土地不适用本指导意见。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第三条 本指导意见所指国有空地是指宗地内无建（构）筑物的空地，或宗地内虽有建（构）筑物，但按本指导意见核减了建筑物分摊占用土地后仍有剩余的土地面积。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第四条 收回国有空地的行政指导监督工作由市自然资源和规划局负责，市住建局及市房屋征收中心配合。市辖各城区政府负责实施收回国有空地及补偿工作，各城区征地机构承办收回和补偿的具体工作。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第五条 收回国有空地的审批程序。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（一）根据《中华人民共和国土地管理法》第五十八条的规定，收回国有空地的一般程序为：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1.由项目业主提出书面申请收回国有空地</w:t>
      </w:r>
      <w:r>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2.由市自然资源和规划局依申请报市政府批准收回国有空地</w:t>
      </w:r>
      <w:r>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3.根据市政府的批准，市自然资源和规划局下达收回国有空地任务</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给所在地的</w:t>
      </w:r>
      <w:r>
        <w:rPr>
          <w:rFonts w:ascii="仿宋" w:hAnsi="仿宋" w:eastAsia="仿宋" w:cs="Times New Roman"/>
          <w:b w:val="0"/>
          <w:bCs/>
          <w:color w:val="000000" w:themeColor="text1"/>
          <w:sz w:val="32"/>
          <w:szCs w:val="32"/>
          <w:highlight w:val="none"/>
          <w:u w:val="none"/>
          <w14:textFill>
            <w14:solidFill>
              <w14:schemeClr w14:val="tx1"/>
            </w14:solidFill>
          </w14:textFill>
        </w:rPr>
        <w:t>城区</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政府组织实施</w:t>
      </w:r>
      <w:r>
        <w:rPr>
          <w:rFonts w:ascii="仿宋" w:hAnsi="仿宋" w:eastAsia="仿宋" w:cs="Times New Roman"/>
          <w:b w:val="0"/>
          <w:bCs/>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320" w:firstLineChars="1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二）收回的国有空地属于房屋征收中按本指导意见认定的空地的，如该空地面积不足1亩（666.67平方米）的，视为零星空地，原则上不再单独办理土地使用权收回审批，市政府委托市房屋征收部门在办理房屋征收审批时一并审批零星空地的收回，下达房屋征收任务包含收回房屋分摊土地及零星空地的任务；如按本指导意见认定的空地面积超过1亩（666.67平方米）的，则按本条第（一）款规定程序办理国有空地收回审批手续。</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第六条收回的国有空地由所在城区征地机构具体实施补偿，工作流程如下：</w:t>
      </w:r>
    </w:p>
    <w:p>
      <w:pPr>
        <w:keepNext w:val="0"/>
        <w:keepLines w:val="0"/>
        <w:pageBreakBefore w:val="0"/>
        <w:widowControl w:val="0"/>
        <w:kinsoku/>
        <w:wordWrap/>
        <w:overflowPunct/>
        <w:topLinePunct w:val="0"/>
        <w:autoSpaceDE/>
        <w:autoSpaceDN/>
        <w:bidi w:val="0"/>
        <w:adjustRightInd w:val="0"/>
        <w:snapToGrid w:val="0"/>
        <w:spacing w:line="360" w:lineRule="auto"/>
        <w:ind w:firstLine="320" w:firstLineChars="100"/>
        <w:textAlignment w:val="auto"/>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pPr>
      <w:r>
        <w:rPr>
          <w:rFonts w:hint="eastAsia" w:ascii="仿宋" w:hAnsi="仿宋" w:eastAsia="仿宋" w:cs="Times New Roman"/>
          <w:b w:val="0"/>
          <w:bCs/>
          <w:color w:val="000000" w:themeColor="text1"/>
          <w:sz w:val="32"/>
          <w:szCs w:val="32"/>
          <w:highlight w:val="none"/>
          <w:u w:val="none"/>
          <w14:textFill>
            <w14:solidFill>
              <w14:schemeClr w14:val="tx1"/>
            </w14:solidFill>
          </w14:textFill>
        </w:rPr>
        <w:t>（一）</w:t>
      </w:r>
      <w:r>
        <w:rPr>
          <w:rFonts w:ascii="仿宋" w:hAnsi="仿宋" w:eastAsia="仿宋" w:cs="Times New Roman"/>
          <w:b w:val="0"/>
          <w:bCs/>
          <w:color w:val="000000" w:themeColor="text1"/>
          <w:sz w:val="32"/>
          <w:szCs w:val="32"/>
          <w:highlight w:val="none"/>
          <w:u w:val="none"/>
          <w14:textFill>
            <w14:solidFill>
              <w14:schemeClr w14:val="tx1"/>
            </w14:solidFill>
          </w14:textFill>
        </w:rPr>
        <w:t>城区征地机构发布收回国有空地的公告（针对居民小区的空地，其他单一业主不用此程序）</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或通知</w:t>
      </w:r>
      <w:r>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320" w:firstLineChars="100"/>
        <w:textAlignment w:val="auto"/>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二</w:t>
      </w:r>
      <w:r>
        <w:rPr>
          <w:rFonts w:ascii="仿宋" w:hAnsi="仿宋" w:eastAsia="仿宋" w:cs="Times New Roman"/>
          <w:b w:val="0"/>
          <w:bCs/>
          <w:color w:val="000000" w:themeColor="text1"/>
          <w:sz w:val="32"/>
          <w:szCs w:val="32"/>
          <w:highlight w:val="none"/>
          <w:u w:val="none"/>
          <w14:textFill>
            <w14:solidFill>
              <w14:schemeClr w14:val="tx1"/>
            </w14:solidFill>
          </w14:textFill>
        </w:rPr>
        <w:t>）城区征地机构组织技术单位测算国有空地面积</w:t>
      </w:r>
      <w:r>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320" w:firstLineChars="100"/>
        <w:textAlignment w:val="auto"/>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三</w:t>
      </w:r>
      <w:r>
        <w:rPr>
          <w:rFonts w:ascii="仿宋" w:hAnsi="仿宋" w:eastAsia="仿宋" w:cs="Times New Roman"/>
          <w:b w:val="0"/>
          <w:bCs/>
          <w:color w:val="000000" w:themeColor="text1"/>
          <w:sz w:val="32"/>
          <w:szCs w:val="32"/>
          <w:highlight w:val="none"/>
          <w:u w:val="none"/>
          <w14:textFill>
            <w14:solidFill>
              <w14:schemeClr w14:val="tx1"/>
            </w14:solidFill>
          </w14:textFill>
        </w:rPr>
        <w:t>）针对被收回的国有空地，</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由</w:t>
      </w:r>
      <w:r>
        <w:rPr>
          <w:rFonts w:ascii="仿宋" w:hAnsi="仿宋" w:eastAsia="仿宋" w:cs="Times New Roman"/>
          <w:b w:val="0"/>
          <w:bCs/>
          <w:color w:val="000000" w:themeColor="text1"/>
          <w:sz w:val="32"/>
          <w:szCs w:val="32"/>
          <w:highlight w:val="none"/>
          <w:u w:val="none"/>
          <w14:textFill>
            <w14:solidFill>
              <w14:schemeClr w14:val="tx1"/>
            </w14:solidFill>
          </w14:textFill>
        </w:rPr>
        <w:t>城区征地机构会同土地使用权人、</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市自然资源和规划局、市财政评审中心分别</w:t>
      </w:r>
      <w:r>
        <w:rPr>
          <w:rFonts w:ascii="仿宋" w:hAnsi="仿宋" w:eastAsia="仿宋" w:cs="Times New Roman"/>
          <w:b w:val="0"/>
          <w:bCs/>
          <w:color w:val="000000" w:themeColor="text1"/>
          <w:sz w:val="32"/>
          <w:szCs w:val="32"/>
          <w:highlight w:val="none"/>
          <w:u w:val="none"/>
          <w14:textFill>
            <w14:solidFill>
              <w14:schemeClr w14:val="tx1"/>
            </w14:solidFill>
          </w14:textFill>
        </w:rPr>
        <w:t>委托有资质的土地评估机构进行评估，三家评估机构的评估结果取平均值作为补偿依据。土地使用权人不愿委托的，由城区征地机构会同项目业主共同委托</w:t>
      </w:r>
      <w:r>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三家评估机构完成评估出具评估结果后，由城区征地机构将评估结果平均值送给土地使用权人和项目业主认可并签订补偿协议。</w:t>
      </w:r>
    </w:p>
    <w:p>
      <w:pPr>
        <w:keepNext w:val="0"/>
        <w:keepLines w:val="0"/>
        <w:pageBreakBefore w:val="0"/>
        <w:widowControl w:val="0"/>
        <w:kinsoku/>
        <w:wordWrap/>
        <w:overflowPunct/>
        <w:topLinePunct w:val="0"/>
        <w:autoSpaceDE/>
        <w:autoSpaceDN/>
        <w:bidi w:val="0"/>
        <w:adjustRightInd w:val="0"/>
        <w:snapToGrid w:val="0"/>
        <w:spacing w:line="360" w:lineRule="auto"/>
        <w:ind w:firstLine="313" w:firstLineChars="98"/>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hint="eastAsia" w:ascii="仿宋" w:hAnsi="仿宋" w:eastAsia="仿宋" w:cs="Times New Roman"/>
          <w:b w:val="0"/>
          <w:bCs/>
          <w:color w:val="000000" w:themeColor="text1"/>
          <w:sz w:val="32"/>
          <w:szCs w:val="32"/>
          <w:highlight w:val="none"/>
          <w:u w:val="none"/>
          <w14:textFill>
            <w14:solidFill>
              <w14:schemeClr w14:val="tx1"/>
            </w14:solidFill>
          </w14:textFill>
        </w:rPr>
        <w:t>（四）</w:t>
      </w:r>
      <w:r>
        <w:rPr>
          <w:rFonts w:ascii="仿宋" w:hAnsi="仿宋" w:eastAsia="仿宋" w:cs="Times New Roman"/>
          <w:b w:val="0"/>
          <w:bCs/>
          <w:color w:val="000000" w:themeColor="text1"/>
          <w:sz w:val="32"/>
          <w:szCs w:val="32"/>
          <w:highlight w:val="none"/>
          <w:u w:val="none"/>
          <w14:textFill>
            <w14:solidFill>
              <w14:schemeClr w14:val="tx1"/>
            </w14:solidFill>
          </w14:textFill>
        </w:rPr>
        <w:t>城区征地机构、项目业主、土地使用权人对评估结果</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平均值</w:t>
      </w:r>
      <w:r>
        <w:rPr>
          <w:rFonts w:ascii="仿宋" w:hAnsi="仿宋" w:eastAsia="仿宋" w:cs="Times New Roman"/>
          <w:b w:val="0"/>
          <w:bCs/>
          <w:color w:val="000000" w:themeColor="text1"/>
          <w:sz w:val="32"/>
          <w:szCs w:val="32"/>
          <w:highlight w:val="none"/>
          <w:u w:val="none"/>
          <w14:textFill>
            <w14:solidFill>
              <w14:schemeClr w14:val="tx1"/>
            </w14:solidFill>
          </w14:textFill>
        </w:rPr>
        <w:t>有异议的，</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由</w:t>
      </w:r>
      <w:r>
        <w:rPr>
          <w:rFonts w:ascii="仿宋" w:hAnsi="仿宋" w:eastAsia="仿宋" w:cs="Times New Roman"/>
          <w:b w:val="0"/>
          <w:bCs/>
          <w:color w:val="000000" w:themeColor="text1"/>
          <w:sz w:val="32"/>
          <w:szCs w:val="32"/>
          <w:highlight w:val="none"/>
          <w:u w:val="none"/>
          <w14:textFill>
            <w14:solidFill>
              <w14:schemeClr w14:val="tx1"/>
            </w14:solidFill>
          </w14:textFill>
        </w:rPr>
        <w:t>市自然资源和规划局组织</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专家进行评审，</w:t>
      </w:r>
      <w:r>
        <w:rPr>
          <w:rFonts w:ascii="仿宋" w:hAnsi="仿宋" w:eastAsia="仿宋" w:cs="Times New Roman"/>
          <w:b w:val="0"/>
          <w:bCs/>
          <w:color w:val="000000" w:themeColor="text1"/>
          <w:sz w:val="32"/>
          <w:szCs w:val="32"/>
          <w:highlight w:val="none"/>
          <w:u w:val="none"/>
          <w14:textFill>
            <w14:solidFill>
              <w14:schemeClr w14:val="tx1"/>
            </w14:solidFill>
          </w14:textFill>
        </w:rPr>
        <w:t>并出具专家</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评审</w:t>
      </w:r>
      <w:r>
        <w:rPr>
          <w:rFonts w:ascii="仿宋" w:hAnsi="仿宋" w:eastAsia="仿宋" w:cs="Times New Roman"/>
          <w:b w:val="0"/>
          <w:bCs/>
          <w:color w:val="000000" w:themeColor="text1"/>
          <w:sz w:val="32"/>
          <w:szCs w:val="32"/>
          <w:highlight w:val="none"/>
          <w:u w:val="none"/>
          <w14:textFill>
            <w14:solidFill>
              <w14:schemeClr w14:val="tx1"/>
            </w14:solidFill>
          </w14:textFill>
        </w:rPr>
        <w:t>意见。</w:t>
      </w:r>
    </w:p>
    <w:p>
      <w:pPr>
        <w:keepNext w:val="0"/>
        <w:keepLines w:val="0"/>
        <w:pageBreakBefore w:val="0"/>
        <w:widowControl w:val="0"/>
        <w:kinsoku/>
        <w:wordWrap/>
        <w:overflowPunct/>
        <w:topLinePunct w:val="0"/>
        <w:autoSpaceDE/>
        <w:autoSpaceDN/>
        <w:bidi w:val="0"/>
        <w:adjustRightInd w:val="0"/>
        <w:snapToGrid w:val="0"/>
        <w:spacing w:line="360" w:lineRule="auto"/>
        <w:ind w:firstLine="313" w:firstLineChars="98"/>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五</w:t>
      </w:r>
      <w:r>
        <w:rPr>
          <w:rFonts w:ascii="仿宋" w:hAnsi="仿宋" w:eastAsia="仿宋" w:cs="Times New Roman"/>
          <w:b w:val="0"/>
          <w:bCs/>
          <w:color w:val="000000" w:themeColor="text1"/>
          <w:sz w:val="32"/>
          <w:szCs w:val="32"/>
          <w:highlight w:val="none"/>
          <w:u w:val="none"/>
          <w14:textFill>
            <w14:solidFill>
              <w14:schemeClr w14:val="tx1"/>
            </w14:solidFill>
          </w14:textFill>
        </w:rPr>
        <w:t>）土地使用权人对评估结果</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平均值或专家评审意见</w:t>
      </w:r>
      <w:r>
        <w:rPr>
          <w:rFonts w:ascii="仿宋" w:hAnsi="仿宋" w:eastAsia="仿宋" w:cs="Times New Roman"/>
          <w:b w:val="0"/>
          <w:bCs/>
          <w:color w:val="000000" w:themeColor="text1"/>
          <w:sz w:val="32"/>
          <w:szCs w:val="32"/>
          <w:highlight w:val="none"/>
          <w:u w:val="none"/>
          <w14:textFill>
            <w14:solidFill>
              <w14:schemeClr w14:val="tx1"/>
            </w14:solidFill>
          </w14:textFill>
        </w:rPr>
        <w:t>有异议的，由城区征地机构依据专家</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评审</w:t>
      </w:r>
      <w:r>
        <w:rPr>
          <w:rFonts w:ascii="仿宋" w:hAnsi="仿宋" w:eastAsia="仿宋" w:cs="Times New Roman"/>
          <w:b w:val="0"/>
          <w:bCs/>
          <w:color w:val="000000" w:themeColor="text1"/>
          <w:sz w:val="32"/>
          <w:szCs w:val="32"/>
          <w:highlight w:val="none"/>
          <w:u w:val="none"/>
          <w14:textFill>
            <w14:solidFill>
              <w14:schemeClr w14:val="tx1"/>
            </w14:solidFill>
          </w14:textFill>
        </w:rPr>
        <w:t>意见，以城区</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政府的名义</w:t>
      </w:r>
      <w:r>
        <w:rPr>
          <w:rFonts w:ascii="仿宋" w:hAnsi="仿宋" w:eastAsia="仿宋" w:cs="Times New Roman"/>
          <w:b w:val="0"/>
          <w:bCs/>
          <w:color w:val="000000" w:themeColor="text1"/>
          <w:sz w:val="32"/>
          <w:szCs w:val="32"/>
          <w:highlight w:val="none"/>
          <w:u w:val="none"/>
          <w14:textFill>
            <w14:solidFill>
              <w14:schemeClr w14:val="tx1"/>
            </w14:solidFill>
          </w14:textFill>
        </w:rPr>
        <w:t>制作《收回国有空地建设用地使用权补偿</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决定书</w:t>
      </w:r>
      <w:r>
        <w:rPr>
          <w:rFonts w:ascii="仿宋" w:hAnsi="仿宋" w:eastAsia="仿宋" w:cs="Times New Roman"/>
          <w:b w:val="0"/>
          <w:bCs/>
          <w:color w:val="000000" w:themeColor="text1"/>
          <w:sz w:val="32"/>
          <w:szCs w:val="32"/>
          <w:highlight w:val="none"/>
          <w:u w:val="none"/>
          <w14:textFill>
            <w14:solidFill>
              <w14:schemeClr w14:val="tx1"/>
            </w14:solidFill>
          </w14:textFill>
        </w:rPr>
        <w:t>》送达给土地使用权人，告知其被收回国有空地建设用地使用权的面积、所获得的补偿金额、交出土地的期限以及不按时交地的法律责任等内容情况。</w:t>
      </w:r>
    </w:p>
    <w:p>
      <w:pPr>
        <w:keepNext w:val="0"/>
        <w:keepLines w:val="0"/>
        <w:pageBreakBefore w:val="0"/>
        <w:widowControl w:val="0"/>
        <w:kinsoku/>
        <w:wordWrap/>
        <w:overflowPunct/>
        <w:topLinePunct w:val="0"/>
        <w:autoSpaceDE/>
        <w:autoSpaceDN/>
        <w:bidi w:val="0"/>
        <w:adjustRightInd w:val="0"/>
        <w:snapToGrid w:val="0"/>
        <w:spacing w:line="360" w:lineRule="auto"/>
        <w:ind w:firstLine="313" w:firstLineChars="98"/>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六</w:t>
      </w:r>
      <w:r>
        <w:rPr>
          <w:rFonts w:ascii="仿宋" w:hAnsi="仿宋" w:eastAsia="仿宋" w:cs="Times New Roman"/>
          <w:b w:val="0"/>
          <w:bCs/>
          <w:color w:val="000000" w:themeColor="text1"/>
          <w:sz w:val="32"/>
          <w:szCs w:val="32"/>
          <w:highlight w:val="none"/>
          <w:u w:val="none"/>
          <w14:textFill>
            <w14:solidFill>
              <w14:schemeClr w14:val="tx1"/>
            </w14:solidFill>
          </w14:textFill>
        </w:rPr>
        <w:t>）土地使用权人在规定期限内不交出土地的，由各城区自然资源主管部门依据《中华人民共和国土地管理法》第八十一条的规定，作出责令交还土地决定并送达给土地使用权人。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第七条 国有空地面积的计算规则。</w:t>
      </w:r>
    </w:p>
    <w:p>
      <w:pPr>
        <w:keepNext w:val="0"/>
        <w:keepLines w:val="0"/>
        <w:pageBreakBefore w:val="0"/>
        <w:widowControl w:val="0"/>
        <w:kinsoku/>
        <w:wordWrap/>
        <w:overflowPunct/>
        <w:topLinePunct w:val="0"/>
        <w:autoSpaceDE/>
        <w:autoSpaceDN/>
        <w:bidi w:val="0"/>
        <w:adjustRightInd w:val="0"/>
        <w:snapToGrid w:val="0"/>
        <w:spacing w:line="360" w:lineRule="auto"/>
        <w:ind w:firstLine="320" w:firstLineChars="1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 xml:space="preserve">（一）地上无建（构）筑物的，空地面积等于宗地面积。 </w:t>
      </w:r>
    </w:p>
    <w:p>
      <w:pPr>
        <w:keepNext w:val="0"/>
        <w:keepLines w:val="0"/>
        <w:pageBreakBefore w:val="0"/>
        <w:widowControl w:val="0"/>
        <w:kinsoku/>
        <w:wordWrap/>
        <w:overflowPunct/>
        <w:topLinePunct w:val="0"/>
        <w:autoSpaceDE/>
        <w:autoSpaceDN/>
        <w:bidi w:val="0"/>
        <w:adjustRightInd w:val="0"/>
        <w:snapToGrid w:val="0"/>
        <w:spacing w:line="360" w:lineRule="auto"/>
        <w:ind w:firstLine="313" w:firstLineChars="98"/>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hint="eastAsia" w:ascii="仿宋" w:hAnsi="仿宋" w:eastAsia="仿宋" w:cs="Times New Roman"/>
          <w:b w:val="0"/>
          <w:bCs/>
          <w:color w:val="000000" w:themeColor="text1"/>
          <w:sz w:val="32"/>
          <w:szCs w:val="32"/>
          <w:highlight w:val="none"/>
          <w:u w:val="none"/>
          <w14:textFill>
            <w14:solidFill>
              <w14:schemeClr w14:val="tx1"/>
            </w14:solidFill>
          </w14:textFill>
        </w:rPr>
        <w:t>（二）线性工程项目涉及收回住宅小区或其他单位不涉及建筑物的空地、绿地，收回的土地面积视为空地面积。</w:t>
      </w:r>
    </w:p>
    <w:p>
      <w:pPr>
        <w:keepNext w:val="0"/>
        <w:keepLines w:val="0"/>
        <w:pageBreakBefore w:val="0"/>
        <w:widowControl w:val="0"/>
        <w:kinsoku/>
        <w:wordWrap/>
        <w:overflowPunct/>
        <w:topLinePunct w:val="0"/>
        <w:autoSpaceDE/>
        <w:autoSpaceDN/>
        <w:bidi w:val="0"/>
        <w:adjustRightInd w:val="0"/>
        <w:snapToGrid w:val="0"/>
        <w:spacing w:line="360" w:lineRule="auto"/>
        <w:ind w:firstLine="320" w:firstLineChars="1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三</w:t>
      </w:r>
      <w:r>
        <w:rPr>
          <w:rFonts w:ascii="仿宋" w:hAnsi="仿宋" w:eastAsia="仿宋" w:cs="Times New Roman"/>
          <w:b w:val="0"/>
          <w:bCs/>
          <w:color w:val="000000" w:themeColor="text1"/>
          <w:sz w:val="32"/>
          <w:szCs w:val="32"/>
          <w:highlight w:val="none"/>
          <w:u w:val="none"/>
          <w14:textFill>
            <w14:solidFill>
              <w14:schemeClr w14:val="tx1"/>
            </w14:solidFill>
          </w14:textFill>
        </w:rPr>
        <w:t>）地上有建（构）筑物的，空地面积一般计算公式：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1.空地面积=宗地面积</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w:t>
      </w:r>
      <w:r>
        <w:rPr>
          <w:rFonts w:ascii="仿宋" w:hAnsi="仿宋" w:eastAsia="仿宋" w:cs="Times New Roman"/>
          <w:b w:val="0"/>
          <w:bCs/>
          <w:color w:val="000000" w:themeColor="text1"/>
          <w:sz w:val="32"/>
          <w:szCs w:val="32"/>
          <w:highlight w:val="none"/>
          <w:u w:val="none"/>
          <w14:textFill>
            <w14:solidFill>
              <w14:schemeClr w14:val="tx1"/>
            </w14:solidFill>
          </w14:textFill>
        </w:rPr>
        <w:t>建（构）筑物分摊土地面积</w:t>
      </w:r>
      <w:r>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2.建（构）筑物分摊土地面积=（宗地现状合法建（构）筑物</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计容</w:t>
      </w:r>
      <w:r>
        <w:rPr>
          <w:rFonts w:ascii="仿宋" w:hAnsi="仿宋" w:eastAsia="仿宋" w:cs="Times New Roman"/>
          <w:b w:val="0"/>
          <w:bCs/>
          <w:color w:val="000000" w:themeColor="text1"/>
          <w:sz w:val="32"/>
          <w:szCs w:val="32"/>
          <w:highlight w:val="none"/>
          <w:u w:val="none"/>
          <w14:textFill>
            <w14:solidFill>
              <w14:schemeClr w14:val="tx1"/>
            </w14:solidFill>
          </w14:textFill>
        </w:rPr>
        <w:t>面积</w:t>
      </w:r>
      <w:r>
        <w:rPr>
          <w:rStyle w:val="8"/>
          <w:rFonts w:ascii="仿宋" w:hAnsi="仿宋" w:eastAsia="仿宋" w:cs="Times New Roman"/>
          <w:b w:val="0"/>
          <w:bCs/>
          <w:color w:val="000000" w:themeColor="text1"/>
          <w:sz w:val="32"/>
          <w:szCs w:val="32"/>
          <w:highlight w:val="none"/>
          <w:u w:val="none"/>
          <w14:textFill>
            <w14:solidFill>
              <w14:schemeClr w14:val="tx1"/>
            </w14:solidFill>
          </w14:textFill>
        </w:rPr>
        <w:footnoteReference w:id="0"/>
      </w:r>
      <w:r>
        <w:rPr>
          <w:rFonts w:ascii="仿宋" w:hAnsi="仿宋" w:eastAsia="仿宋" w:cs="Times New Roman"/>
          <w:b w:val="0"/>
          <w:bCs/>
          <w:color w:val="000000" w:themeColor="text1"/>
          <w:sz w:val="32"/>
          <w:szCs w:val="32"/>
          <w:highlight w:val="none"/>
          <w:u w:val="none"/>
          <w14:textFill>
            <w14:solidFill>
              <w14:schemeClr w14:val="tx1"/>
            </w14:solidFill>
          </w14:textFill>
        </w:rPr>
        <w:t>+宗地现状参照合法补偿建（构）筑物</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计容</w:t>
      </w:r>
      <w:r>
        <w:rPr>
          <w:rFonts w:ascii="仿宋" w:hAnsi="仿宋" w:eastAsia="仿宋" w:cs="Times New Roman"/>
          <w:b w:val="0"/>
          <w:bCs/>
          <w:color w:val="000000" w:themeColor="text1"/>
          <w:sz w:val="32"/>
          <w:szCs w:val="32"/>
          <w:highlight w:val="none"/>
          <w:u w:val="none"/>
          <w14:textFill>
            <w14:solidFill>
              <w14:schemeClr w14:val="tx1"/>
            </w14:solidFill>
          </w14:textFill>
        </w:rPr>
        <w:t>面积）÷原用途下最低控制容积率（如原批准容积率低于最低控制容积率的，以原批准容积率进行计算）</w:t>
      </w:r>
      <w:r>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3.现状容积率=（宗地现状合法建（构）筑物</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计容</w:t>
      </w:r>
      <w:r>
        <w:rPr>
          <w:rFonts w:ascii="仿宋" w:hAnsi="仿宋" w:eastAsia="仿宋" w:cs="Times New Roman"/>
          <w:b w:val="0"/>
          <w:bCs/>
          <w:color w:val="000000" w:themeColor="text1"/>
          <w:sz w:val="32"/>
          <w:szCs w:val="32"/>
          <w:highlight w:val="none"/>
          <w:u w:val="none"/>
          <w14:textFill>
            <w14:solidFill>
              <w14:schemeClr w14:val="tx1"/>
            </w14:solidFill>
          </w14:textFill>
        </w:rPr>
        <w:t>面积+宗地现状参照合法补偿建筑物</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计容</w:t>
      </w:r>
      <w:r>
        <w:rPr>
          <w:rFonts w:ascii="仿宋" w:hAnsi="仿宋" w:eastAsia="仿宋" w:cs="Times New Roman"/>
          <w:b w:val="0"/>
          <w:bCs/>
          <w:color w:val="000000" w:themeColor="text1"/>
          <w:sz w:val="32"/>
          <w:szCs w:val="32"/>
          <w:highlight w:val="none"/>
          <w:u w:val="none"/>
          <w14:textFill>
            <w14:solidFill>
              <w14:schemeClr w14:val="tx1"/>
            </w14:solidFill>
          </w14:textFill>
        </w:rPr>
        <w:t>面积）÷宗地面积</w:t>
      </w:r>
      <w:r>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320" w:firstLineChars="1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四</w:t>
      </w:r>
      <w:r>
        <w:rPr>
          <w:rFonts w:ascii="仿宋" w:hAnsi="仿宋" w:eastAsia="仿宋" w:cs="Times New Roman"/>
          <w:b w:val="0"/>
          <w:bCs/>
          <w:color w:val="000000" w:themeColor="text1"/>
          <w:sz w:val="32"/>
          <w:szCs w:val="32"/>
          <w:highlight w:val="none"/>
          <w:u w:val="none"/>
          <w14:textFill>
            <w14:solidFill>
              <w14:schemeClr w14:val="tx1"/>
            </w14:solidFill>
          </w14:textFill>
        </w:rPr>
        <w:t>）被收回的土地没有相关批准文件明确容积率的，</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按以下</w:t>
      </w:r>
      <w:r>
        <w:rPr>
          <w:rFonts w:ascii="仿宋" w:hAnsi="仿宋" w:eastAsia="仿宋" w:cs="Times New Roman"/>
          <w:b w:val="0"/>
          <w:bCs/>
          <w:color w:val="000000" w:themeColor="text1"/>
          <w:sz w:val="32"/>
          <w:szCs w:val="32"/>
          <w:highlight w:val="none"/>
          <w:u w:val="none"/>
          <w14:textFill>
            <w14:solidFill>
              <w14:schemeClr w14:val="tx1"/>
            </w14:solidFill>
          </w14:textFill>
        </w:rPr>
        <w:t>原用途最低控制容积率</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确定容积率</w:t>
      </w:r>
      <w:r>
        <w:rPr>
          <w:rFonts w:ascii="仿宋" w:hAnsi="仿宋" w:eastAsia="仿宋" w:cs="Times New Roman"/>
          <w:b w:val="0"/>
          <w:bCs/>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1.宗地原用途为工业、仓储、经营性旅游休闲观光用地的，最低控制容积率为0.8</w:t>
      </w:r>
      <w:r>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2.宗地用途为居住、商业服务业用地的，最低控制容积率为1.5</w:t>
      </w:r>
      <w:r>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3.宗地用途为公共管理与公共服务用地的，最低控制容积率为0.6。</w:t>
      </w:r>
    </w:p>
    <w:p>
      <w:pPr>
        <w:keepNext w:val="0"/>
        <w:keepLines w:val="0"/>
        <w:pageBreakBefore w:val="0"/>
        <w:widowControl w:val="0"/>
        <w:kinsoku/>
        <w:wordWrap/>
        <w:overflowPunct/>
        <w:topLinePunct w:val="0"/>
        <w:autoSpaceDE/>
        <w:autoSpaceDN/>
        <w:bidi w:val="0"/>
        <w:adjustRightInd w:val="0"/>
        <w:snapToGrid w:val="0"/>
        <w:spacing w:line="360" w:lineRule="auto"/>
        <w:ind w:firstLine="313" w:firstLineChars="98"/>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五</w:t>
      </w:r>
      <w:r>
        <w:rPr>
          <w:rFonts w:ascii="仿宋" w:hAnsi="仿宋" w:eastAsia="仿宋" w:cs="Times New Roman"/>
          <w:b w:val="0"/>
          <w:bCs/>
          <w:color w:val="000000" w:themeColor="text1"/>
          <w:sz w:val="32"/>
          <w:szCs w:val="32"/>
          <w:highlight w:val="none"/>
          <w:u w:val="none"/>
          <w14:textFill>
            <w14:solidFill>
              <w14:schemeClr w14:val="tx1"/>
            </w14:solidFill>
          </w14:textFill>
        </w:rPr>
        <w:t>）如宗地的现状容积率大于</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相关批准文件批准的或</w:t>
      </w:r>
      <w:r>
        <w:rPr>
          <w:rFonts w:ascii="仿宋" w:hAnsi="仿宋" w:eastAsia="仿宋" w:cs="Times New Roman"/>
          <w:b w:val="0"/>
          <w:bCs/>
          <w:color w:val="000000" w:themeColor="text1"/>
          <w:sz w:val="32"/>
          <w:szCs w:val="32"/>
          <w:highlight w:val="none"/>
          <w:u w:val="none"/>
          <w14:textFill>
            <w14:solidFill>
              <w14:schemeClr w14:val="tx1"/>
            </w14:solidFill>
          </w14:textFill>
        </w:rPr>
        <w:t>本条</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第（四）项</w:t>
      </w:r>
      <w:r>
        <w:rPr>
          <w:rFonts w:ascii="仿宋" w:hAnsi="仿宋" w:eastAsia="仿宋" w:cs="Times New Roman"/>
          <w:b w:val="0"/>
          <w:bCs/>
          <w:color w:val="000000" w:themeColor="text1"/>
          <w:sz w:val="32"/>
          <w:szCs w:val="32"/>
          <w:highlight w:val="none"/>
          <w:u w:val="none"/>
          <w14:textFill>
            <w14:solidFill>
              <w14:schemeClr w14:val="tx1"/>
            </w14:solidFill>
          </w14:textFill>
        </w:rPr>
        <w:t>规定的最低控制容积率的，则该宗地的空地面积视为零。</w:t>
      </w:r>
    </w:p>
    <w:p>
      <w:pPr>
        <w:keepNext w:val="0"/>
        <w:keepLines w:val="0"/>
        <w:pageBreakBefore w:val="0"/>
        <w:widowControl w:val="0"/>
        <w:kinsoku/>
        <w:wordWrap/>
        <w:overflowPunct/>
        <w:topLinePunct w:val="0"/>
        <w:autoSpaceDE/>
        <w:autoSpaceDN/>
        <w:bidi w:val="0"/>
        <w:adjustRightInd w:val="0"/>
        <w:snapToGrid w:val="0"/>
        <w:spacing w:line="360" w:lineRule="auto"/>
        <w:ind w:firstLine="320" w:firstLineChars="1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六</w:t>
      </w:r>
      <w:r>
        <w:rPr>
          <w:rFonts w:ascii="仿宋" w:hAnsi="仿宋" w:eastAsia="仿宋" w:cs="Times New Roman"/>
          <w:b w:val="0"/>
          <w:bCs/>
          <w:color w:val="000000" w:themeColor="text1"/>
          <w:sz w:val="32"/>
          <w:szCs w:val="32"/>
          <w:highlight w:val="none"/>
          <w:u w:val="none"/>
          <w14:textFill>
            <w14:solidFill>
              <w14:schemeClr w14:val="tx1"/>
            </w14:solidFill>
          </w14:textFill>
        </w:rPr>
        <w:t>）收回的国有空地原用途为工业、仓储用地，对其地上合法或参照合法补偿的建（构）筑物，如土地使用权人选择按重置价结合成新进行评估补偿的，可将该宗地全部面积视为空地面积。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第八条 地上有建（构）筑物的国有空地面积，一般按以下方式和程序进行调查确定：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由所在城区（新区）征地工作机构对地上建筑物进行调查认定，确定合法的建（构）筑物和参照合法补偿的建（构）筑物</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以及各类用地用途范围</w:t>
      </w:r>
      <w:r>
        <w:rPr>
          <w:rFonts w:ascii="仿宋" w:hAnsi="仿宋" w:eastAsia="仿宋" w:cs="Times New Roman"/>
          <w:b w:val="0"/>
          <w:bCs/>
          <w:color w:val="000000" w:themeColor="text1"/>
          <w:sz w:val="32"/>
          <w:szCs w:val="32"/>
          <w:highlight w:val="none"/>
          <w:u w:val="none"/>
          <w14:textFill>
            <w14:solidFill>
              <w14:schemeClr w14:val="tx1"/>
            </w14:solidFill>
          </w14:textFill>
        </w:rPr>
        <w:t>后，委托有资质的测绘机构按本指导意见第七条规定的原则进行测绘和计算，并出具测量成果、示意图、宗地权籍调查意见等，确定收回的国有空地面积。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第九条 国有空地的原用途以土地登记等产权登记记载的用途确定，没有产权登记的，以原用地批准文件、土地有偿使用合同或原规划审批文件记载的用途确定。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第十条 收回国有空地补偿价格的确定规则：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（一）收回的国有空地原用途为工业、仓储用地的，补偿标准按宗地基准地价级别价格结合补偿系数计算补偿价格，即补偿价格=宗地所在基准地价级别价格×补偿系数。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根据《柳州市市区工业用地基准地价图》等基准地价成果数据，柳州市工业用地共分为一至五级（仓储用地参照工业用地执行），一级范围内工业用地补偿系数为4.0，二至四级每降低一个级别补偿系数下调0.5；五级范围内零星工业地块的补偿系数确定为1.5；五级范围内规划保留的工业、仓储园区内的工业仓储用地的补偿系数统一确定为1.0</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，五级范围外的工业仓储用地参照五级补偿标准。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hint="eastAsia" w:ascii="仿宋" w:hAnsi="仿宋" w:eastAsia="仿宋" w:cs="Times New Roman"/>
          <w:b w:val="0"/>
          <w:bCs/>
          <w:color w:val="000000" w:themeColor="text1"/>
          <w:sz w:val="32"/>
          <w:szCs w:val="32"/>
          <w:highlight w:val="none"/>
          <w:u w:val="none"/>
          <w14:textFill>
            <w14:solidFill>
              <w14:schemeClr w14:val="tx1"/>
            </w14:solidFill>
          </w14:textFill>
        </w:rPr>
        <w:t>补偿价格=宗地所在基准地价级别价格×补偿系数×土地使用年限系数×土地使用性质系数。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hint="eastAsia" w:ascii="仿宋" w:hAnsi="仿宋" w:eastAsia="仿宋" w:cs="Times New Roman"/>
          <w:b w:val="0"/>
          <w:bCs/>
          <w:color w:val="000000" w:themeColor="text1"/>
          <w:sz w:val="32"/>
          <w:szCs w:val="32"/>
          <w:highlight w:val="none"/>
          <w:u w:val="none"/>
          <w14:textFill>
            <w14:solidFill>
              <w14:schemeClr w14:val="tx1"/>
            </w14:solidFill>
          </w14:textFill>
        </w:rPr>
        <w:t>土地使用年限系数=工业、仓储用地剩余土地使用年限÷50。</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hint="eastAsia" w:ascii="仿宋" w:hAnsi="仿宋" w:eastAsia="仿宋" w:cs="Times New Roman"/>
          <w:b w:val="0"/>
          <w:bCs/>
          <w:color w:val="000000" w:themeColor="text1"/>
          <w:sz w:val="32"/>
          <w:szCs w:val="32"/>
          <w:highlight w:val="none"/>
          <w:u w:val="none"/>
          <w14:textFill>
            <w14:solidFill>
              <w14:schemeClr w14:val="tx1"/>
            </w14:solidFill>
          </w14:textFill>
        </w:rPr>
        <w:t>土地使用年限系数不低于0.6。</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hint="eastAsia" w:ascii="仿宋" w:hAnsi="仿宋" w:eastAsia="仿宋" w:cs="Times New Roman"/>
          <w:b w:val="0"/>
          <w:bCs/>
          <w:color w:val="000000" w:themeColor="text1"/>
          <w:sz w:val="32"/>
          <w:szCs w:val="32"/>
          <w:highlight w:val="none"/>
          <w:u w:val="none"/>
          <w14:textFill>
            <w14:solidFill>
              <w14:schemeClr w14:val="tx1"/>
            </w14:solidFill>
          </w14:textFill>
        </w:rPr>
        <w:t>出让性质的工业、仓储用地土地使用性质系数为1，划拨性质的工业、仓储用地土地使用性质系数为0.6。</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（二）收回的国有空地原用途为除工业、仓储用地以外的其他用地的，统一按本指导意见第十一条规定的方式进行市场评估，原则上以市场评估价格确定为补偿价格。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第十一条 国有空地原用途宗地地价评估，应遵循公正、公平、公开原则，按照国家技术标准，分别不同用途、不同容积率等，参照当地土地市场价格进行评估。土地估价报告需按《国土资源部办公厅关于实行电子化备案完善土地估价报告备案制度的通知》（国土资厅发〔2012〕35号）文件要求一律实行电子化备案，并出具备案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（一）宗地评估的容积率标准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用地审批时或建筑物审批时有容积率的，按原容积率标准。没有或无法确定原批准容积率的，则采用本指导意见第七条规定的最低控制容积率。</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（二）宗地评估的特别规定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线性工程等项目仅收回住宅小区或其他单位用地的空地、绿地，不涉及建筑物的，该土地评估统一按停车场用途进行土地评估，如评估值低于所在区域原项目用途土地的基准地价级别价格时，按所在区域原项目土地用途的基准地价级别价格补偿。</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除本条第（二）项特别规定外，出让土地按剩余年限进行评估；原划拨土地按自然资源部2019年印发的《划拨国有建设用地使用权地价评估指导意见（试行）》进行评估。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hint="eastAsia" w:ascii="仿宋" w:hAnsi="仿宋" w:eastAsia="仿宋" w:cs="Times New Roman"/>
          <w:b w:val="0"/>
          <w:bCs/>
          <w:color w:val="000000" w:themeColor="text1"/>
          <w:sz w:val="32"/>
          <w:szCs w:val="32"/>
          <w:highlight w:val="none"/>
          <w:u w:val="none"/>
          <w14:textFill>
            <w14:solidFill>
              <w14:schemeClr w14:val="tx1"/>
            </w14:solidFill>
          </w14:textFill>
        </w:rPr>
        <w:t>第十二条</w:t>
      </w:r>
      <w:r>
        <w:rPr>
          <w:rFonts w:hint="default" w:ascii="仿宋" w:hAnsi="仿宋" w:eastAsia="仿宋" w:cs="Times New Roman"/>
          <w:b w:val="0"/>
          <w:bCs/>
          <w:color w:val="000000" w:themeColor="text1"/>
          <w:sz w:val="32"/>
          <w:szCs w:val="32"/>
          <w:highlight w:val="none"/>
          <w:u w:val="none"/>
          <w:lang w:val="en-US"/>
          <w14:textFill>
            <w14:solidFill>
              <w14:schemeClr w14:val="tx1"/>
            </w14:solidFill>
          </w14:textFill>
        </w:rPr>
        <w:t xml:space="preserve"> </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对于本指导意见尚未明确的其他评估补偿事项，或者对于情况特殊的地块的评估及补偿方案，各城区（新区）征地工作机构和市自然资源和规划局要加强沟通协调，可提请市自然资源和规划局召开相关专家论证会，经专家论证确定评估原则和技术路线后实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第十</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三</w:t>
      </w:r>
      <w:r>
        <w:rPr>
          <w:rFonts w:ascii="仿宋" w:hAnsi="仿宋" w:eastAsia="仿宋" w:cs="Times New Roman"/>
          <w:b w:val="0"/>
          <w:bCs/>
          <w:color w:val="000000" w:themeColor="text1"/>
          <w:sz w:val="32"/>
          <w:szCs w:val="32"/>
          <w:highlight w:val="none"/>
          <w:u w:val="none"/>
          <w14:textFill>
            <w14:solidFill>
              <w14:schemeClr w14:val="tx1"/>
            </w14:solidFill>
          </w14:textFill>
        </w:rPr>
        <w:t>条 收回国有空地原则上实行货币补偿方式。但收回原用途为工业企业的工业、</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仓储</w:t>
      </w:r>
      <w:r>
        <w:rPr>
          <w:rFonts w:ascii="仿宋" w:hAnsi="仿宋" w:eastAsia="仿宋" w:cs="Times New Roman"/>
          <w:b w:val="0"/>
          <w:bCs/>
          <w:color w:val="000000" w:themeColor="text1"/>
          <w:sz w:val="32"/>
          <w:szCs w:val="32"/>
          <w:highlight w:val="none"/>
          <w:u w:val="none"/>
          <w14:textFill>
            <w14:solidFill>
              <w14:schemeClr w14:val="tx1"/>
            </w14:solidFill>
          </w14:textFill>
        </w:rPr>
        <w:t>用地时，经批准可以进入工业、</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物流</w:t>
      </w:r>
      <w:r>
        <w:rPr>
          <w:rFonts w:ascii="仿宋" w:hAnsi="仿宋" w:eastAsia="仿宋" w:cs="Times New Roman"/>
          <w:b w:val="0"/>
          <w:bCs/>
          <w:color w:val="000000" w:themeColor="text1"/>
          <w:sz w:val="32"/>
          <w:szCs w:val="32"/>
          <w:highlight w:val="none"/>
          <w:u w:val="none"/>
          <w14:textFill>
            <w14:solidFill>
              <w14:schemeClr w14:val="tx1"/>
            </w14:solidFill>
          </w14:textFill>
        </w:rPr>
        <w:t>园区进行置换的，可参照原国土资源部《关于进一步落实工业用地出让制度的通知》（国土资发〔2009〕101号）进行等值置换。</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第十</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四</w:t>
      </w:r>
      <w:r>
        <w:rPr>
          <w:rFonts w:ascii="仿宋" w:hAnsi="仿宋" w:eastAsia="仿宋" w:cs="Times New Roman"/>
          <w:b w:val="0"/>
          <w:bCs/>
          <w:color w:val="000000" w:themeColor="text1"/>
          <w:sz w:val="32"/>
          <w:szCs w:val="32"/>
          <w:highlight w:val="none"/>
          <w:u w:val="none"/>
          <w14:textFill>
            <w14:solidFill>
              <w14:schemeClr w14:val="tx1"/>
            </w14:solidFill>
          </w14:textFill>
        </w:rPr>
        <w:t>条 补偿对象</w:t>
      </w:r>
      <w:r>
        <w:rPr>
          <w:rFonts w:hint="eastAsia" w:ascii="仿宋" w:hAnsi="仿宋" w:eastAsia="仿宋" w:cs="Times New Roman"/>
          <w:b w:val="0"/>
          <w:bCs/>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收回国有空地原则上补偿给土地使用权人。但收回已建成居住小区的附属空地，由各城区（新区）征地工作机构根据具体情况实施补偿。</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第十</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五</w:t>
      </w:r>
      <w:r>
        <w:rPr>
          <w:rFonts w:ascii="仿宋" w:hAnsi="仿宋" w:eastAsia="仿宋" w:cs="Times New Roman"/>
          <w:b w:val="0"/>
          <w:bCs/>
          <w:color w:val="000000" w:themeColor="text1"/>
          <w:sz w:val="32"/>
          <w:szCs w:val="32"/>
          <w:highlight w:val="none"/>
          <w:u w:val="none"/>
          <w14:textFill>
            <w14:solidFill>
              <w14:schemeClr w14:val="tx1"/>
            </w14:solidFill>
          </w14:textFill>
        </w:rPr>
        <w:t>条国有空地收回前如经土壤污染状况调查，存在土壤污染且土地使用权人有治理义务的，相关土壤污染状况调查费、土壤治理费可从补偿费中抵扣。</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第十</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六</w:t>
      </w:r>
      <w:r>
        <w:rPr>
          <w:rFonts w:ascii="仿宋" w:hAnsi="仿宋" w:eastAsia="仿宋" w:cs="Times New Roman"/>
          <w:b w:val="0"/>
          <w:bCs/>
          <w:color w:val="000000" w:themeColor="text1"/>
          <w:sz w:val="32"/>
          <w:szCs w:val="32"/>
          <w:highlight w:val="none"/>
          <w:u w:val="none"/>
          <w14:textFill>
            <w14:solidFill>
              <w14:schemeClr w14:val="tx1"/>
            </w14:solidFill>
          </w14:textFill>
        </w:rPr>
        <w:t>条 收回国有空地的工作经费和实施费</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收回国有空地计收工作经费，按5000元/亩计收（其中城区4000元/亩、自然资源和规划局500元/亩、市房屋征收补偿服务中心500元/亩），单宗地低于3000元的，按3000元收取，全部给城区。</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收回的国有空地宗地内涉及征收房屋的，在国有空地补偿价确定后由城区（新区）征地工作机构统一纳入对应的房屋征收项目预算，由市房屋征收中心统一计收实施费。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第十</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七</w:t>
      </w:r>
      <w:r>
        <w:rPr>
          <w:rFonts w:ascii="仿宋" w:hAnsi="仿宋" w:eastAsia="仿宋" w:cs="Times New Roman"/>
          <w:b w:val="0"/>
          <w:bCs/>
          <w:color w:val="000000" w:themeColor="text1"/>
          <w:sz w:val="32"/>
          <w:szCs w:val="32"/>
          <w:highlight w:val="none"/>
          <w:u w:val="none"/>
          <w14:textFill>
            <w14:solidFill>
              <w14:schemeClr w14:val="tx1"/>
            </w14:solidFill>
          </w14:textFill>
        </w:rPr>
        <w:t>条 市房屋征收补偿服务中心下达的国有土地上房屋征收项目规划红线范围内涉及国有空地的补偿款和有关工作经费、实施费用由市房屋征收补偿服务中心按国有房屋征收的有关规定进行资金收取、拨付和结算。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第十</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八</w:t>
      </w:r>
      <w:r>
        <w:rPr>
          <w:rFonts w:ascii="仿宋" w:hAnsi="仿宋" w:eastAsia="仿宋" w:cs="Times New Roman"/>
          <w:b w:val="0"/>
          <w:bCs/>
          <w:color w:val="000000" w:themeColor="text1"/>
          <w:sz w:val="32"/>
          <w:szCs w:val="32"/>
          <w:highlight w:val="none"/>
          <w:u w:val="none"/>
          <w14:textFill>
            <w14:solidFill>
              <w14:schemeClr w14:val="tx1"/>
            </w14:solidFill>
          </w14:textFill>
        </w:rPr>
        <w:t>条 国有空地评估费按柳州市自然资源和规划局土地评估采购服务协议规定的标准执行，单个土地估价报告计费低于2000元的，按2000元执行。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ascii="仿宋" w:hAnsi="仿宋" w:eastAsia="仿宋" w:cs="Times New Roman"/>
          <w:b w:val="0"/>
          <w:bCs/>
          <w:color w:val="000000" w:themeColor="text1"/>
          <w:sz w:val="32"/>
          <w:szCs w:val="32"/>
          <w:highlight w:val="none"/>
          <w:u w:val="none"/>
          <w14:textFill>
            <w14:solidFill>
              <w14:schemeClr w14:val="tx1"/>
            </w14:solidFill>
          </w14:textFill>
        </w:rPr>
        <w:t>第十</w:t>
      </w:r>
      <w:r>
        <w:rPr>
          <w:rFonts w:hint="eastAsia" w:ascii="仿宋" w:hAnsi="仿宋" w:eastAsia="仿宋" w:cs="Times New Roman"/>
          <w:b w:val="0"/>
          <w:bCs/>
          <w:color w:val="000000" w:themeColor="text1"/>
          <w:sz w:val="32"/>
          <w:szCs w:val="32"/>
          <w:highlight w:val="none"/>
          <w:u w:val="none"/>
          <w14:textFill>
            <w14:solidFill>
              <w14:schemeClr w14:val="tx1"/>
            </w14:solidFill>
          </w14:textFill>
        </w:rPr>
        <w:t>九</w:t>
      </w:r>
      <w:r>
        <w:rPr>
          <w:rFonts w:ascii="仿宋" w:hAnsi="仿宋" w:eastAsia="仿宋" w:cs="Times New Roman"/>
          <w:b w:val="0"/>
          <w:bCs/>
          <w:color w:val="000000" w:themeColor="text1"/>
          <w:sz w:val="32"/>
          <w:szCs w:val="32"/>
          <w:highlight w:val="none"/>
          <w:u w:val="none"/>
          <w14:textFill>
            <w14:solidFill>
              <w14:schemeClr w14:val="tx1"/>
            </w14:solidFill>
          </w14:textFill>
        </w:rPr>
        <w:t>条 本指导意见自印发之日起执行。原《柳州市人民政府关于加强经营性用地管理有关问题的通知》（柳政发〔2010〕83号）和《柳州市人民政府关于印发&lt;柳州市公益性项目建设收回国有土地使用权补偿办法&gt;的通知》（柳政发〔2010〕41号）同时停止执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 w:val="0"/>
          <w:bCs/>
          <w:color w:val="000000" w:themeColor="text1"/>
          <w:sz w:val="32"/>
          <w:szCs w:val="32"/>
          <w:highlight w:val="none"/>
          <w:u w:val="none"/>
          <w14:textFill>
            <w14:solidFill>
              <w14:schemeClr w14:val="tx1"/>
            </w14:solidFill>
          </w14:textFill>
        </w:rPr>
      </w:pPr>
      <w:r>
        <w:rPr>
          <w:rFonts w:hint="eastAsia" w:ascii="仿宋" w:hAnsi="仿宋" w:eastAsia="仿宋" w:cs="Times New Roman"/>
          <w:b w:val="0"/>
          <w:bCs/>
          <w:color w:val="000000" w:themeColor="text1"/>
          <w:sz w:val="32"/>
          <w:szCs w:val="32"/>
          <w:highlight w:val="none"/>
          <w:u w:val="none"/>
          <w14:textFill>
            <w14:solidFill>
              <w14:schemeClr w14:val="tx1"/>
            </w14:solidFill>
          </w14:textFill>
        </w:rPr>
        <w:t>第二十条 市土储中心经市政府批准收储土地的，对拟收储的</w:t>
      </w:r>
      <w:bookmarkEnd w:id="0"/>
      <w:r>
        <w:rPr>
          <w:rFonts w:hint="eastAsia" w:ascii="仿宋" w:hAnsi="仿宋" w:eastAsia="仿宋" w:cs="Times New Roman"/>
          <w:b w:val="0"/>
          <w:bCs/>
          <w:color w:val="000000" w:themeColor="text1"/>
          <w:sz w:val="32"/>
          <w:szCs w:val="32"/>
          <w:highlight w:val="none"/>
          <w:u w:val="none"/>
          <w14:textFill>
            <w14:solidFill>
              <w14:schemeClr w14:val="tx1"/>
            </w14:solidFill>
          </w14:textFill>
        </w:rPr>
        <w:t>土地连同地上建筑物的补偿，可以按相关规定执行。</w:t>
      </w:r>
    </w:p>
    <w:p>
      <w:pPr>
        <w:adjustRightInd w:val="0"/>
        <w:snapToGrid w:val="0"/>
        <w:spacing w:line="560" w:lineRule="exact"/>
        <w:ind w:firstLine="640" w:firstLineChars="200"/>
        <w:rPr>
          <w:rFonts w:ascii="仿宋" w:hAnsi="仿宋" w:eastAsia="仿宋" w:cs="Times New Roman"/>
          <w:color w:val="000000" w:themeColor="text1"/>
          <w:sz w:val="32"/>
          <w:szCs w:val="32"/>
          <w:highlight w:val="none"/>
          <w14:textFill>
            <w14:solidFill>
              <w14:schemeClr w14:val="tx1"/>
            </w14:solidFill>
          </w14:textFill>
        </w:rPr>
      </w:pPr>
    </w:p>
    <w:sectPr>
      <w:footerReference r:id="rId4" w:type="default"/>
      <w:footerReference r:id="rId5" w:type="even"/>
      <w:pgSz w:w="11906" w:h="16838"/>
      <w:pgMar w:top="1531" w:right="1440" w:bottom="1797" w:left="141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49057"/>
    </w:sdtPr>
    <w:sdtEndPr>
      <w:rPr>
        <w:rFonts w:asciiTheme="majorEastAsia" w:hAnsiTheme="majorEastAsia" w:eastAsiaTheme="majorEastAsia"/>
        <w:sz w:val="28"/>
        <w:szCs w:val="28"/>
      </w:rPr>
    </w:sdtEndPr>
    <w:sdtContent>
      <w:p>
        <w:pPr>
          <w:pStyle w:val="3"/>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7 -</w:t>
        </w:r>
        <w:r>
          <w:rPr>
            <w:rFonts w:asciiTheme="majorEastAsia" w:hAnsiTheme="majorEastAsia" w:eastAsiaTheme="maj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49059"/>
    </w:sdtPr>
    <w:sdtContent>
      <w:p>
        <w:pPr>
          <w:pStyle w:val="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rPr>
          <w:rFonts w:ascii="仿宋" w:hAnsi="仿宋" w:eastAsia="仿宋" w:cs="仿宋"/>
          <w:sz w:val="24"/>
          <w:szCs w:val="36"/>
        </w:rPr>
      </w:pPr>
      <w:r>
        <w:rPr>
          <w:rStyle w:val="8"/>
        </w:rPr>
        <w:footnoteRef/>
      </w:r>
      <w:r>
        <w:rPr>
          <w:rFonts w:hint="eastAsia" w:ascii="仿宋" w:hAnsi="仿宋" w:eastAsia="仿宋" w:cs="仿宋"/>
          <w:sz w:val="24"/>
          <w:szCs w:val="36"/>
        </w:rPr>
        <w:t>计容面积：也称为计容建筑面积或容积率部分的建筑面积，是指城市规划中根据规定的容积率和用地面积计算出的建筑物可建造的最大建筑面积。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D6CF6"/>
    <w:multiLevelType w:val="singleLevel"/>
    <w:tmpl w:val="AB9D6CF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B7"/>
    <w:rsid w:val="00003CFB"/>
    <w:rsid w:val="000165F5"/>
    <w:rsid w:val="0001680A"/>
    <w:rsid w:val="0002443E"/>
    <w:rsid w:val="0003108D"/>
    <w:rsid w:val="000319A3"/>
    <w:rsid w:val="00040E8D"/>
    <w:rsid w:val="00065BB6"/>
    <w:rsid w:val="00082E9D"/>
    <w:rsid w:val="0009298D"/>
    <w:rsid w:val="000938F0"/>
    <w:rsid w:val="00096D43"/>
    <w:rsid w:val="000A32C0"/>
    <w:rsid w:val="000A7863"/>
    <w:rsid w:val="000B518A"/>
    <w:rsid w:val="000B56F8"/>
    <w:rsid w:val="000C089A"/>
    <w:rsid w:val="000C20F1"/>
    <w:rsid w:val="000D0505"/>
    <w:rsid w:val="000E5224"/>
    <w:rsid w:val="000E5E35"/>
    <w:rsid w:val="000E6556"/>
    <w:rsid w:val="000F741F"/>
    <w:rsid w:val="00102DA4"/>
    <w:rsid w:val="001054F2"/>
    <w:rsid w:val="00125019"/>
    <w:rsid w:val="00125058"/>
    <w:rsid w:val="0013745D"/>
    <w:rsid w:val="00144FE2"/>
    <w:rsid w:val="0014739A"/>
    <w:rsid w:val="001606AF"/>
    <w:rsid w:val="00163BA4"/>
    <w:rsid w:val="001675BE"/>
    <w:rsid w:val="00170382"/>
    <w:rsid w:val="00171BA0"/>
    <w:rsid w:val="00173659"/>
    <w:rsid w:val="00175F8F"/>
    <w:rsid w:val="00183D63"/>
    <w:rsid w:val="001864AE"/>
    <w:rsid w:val="00191D57"/>
    <w:rsid w:val="00193F0A"/>
    <w:rsid w:val="001A20E3"/>
    <w:rsid w:val="001A39A9"/>
    <w:rsid w:val="001A7CD6"/>
    <w:rsid w:val="001B1CE5"/>
    <w:rsid w:val="001D554F"/>
    <w:rsid w:val="001F040E"/>
    <w:rsid w:val="001F291E"/>
    <w:rsid w:val="001F77C5"/>
    <w:rsid w:val="002040BD"/>
    <w:rsid w:val="00205349"/>
    <w:rsid w:val="00214AEA"/>
    <w:rsid w:val="00216DE4"/>
    <w:rsid w:val="00222552"/>
    <w:rsid w:val="002232C5"/>
    <w:rsid w:val="0023181E"/>
    <w:rsid w:val="00231E1F"/>
    <w:rsid w:val="00232A85"/>
    <w:rsid w:val="002370F2"/>
    <w:rsid w:val="00240831"/>
    <w:rsid w:val="0024315E"/>
    <w:rsid w:val="00244222"/>
    <w:rsid w:val="00244B98"/>
    <w:rsid w:val="002555A4"/>
    <w:rsid w:val="00263CDC"/>
    <w:rsid w:val="002661DD"/>
    <w:rsid w:val="0027060D"/>
    <w:rsid w:val="0027746C"/>
    <w:rsid w:val="00277933"/>
    <w:rsid w:val="00277B8D"/>
    <w:rsid w:val="002A08AE"/>
    <w:rsid w:val="002A08C2"/>
    <w:rsid w:val="002A2221"/>
    <w:rsid w:val="002A5518"/>
    <w:rsid w:val="002A6D5D"/>
    <w:rsid w:val="002B7255"/>
    <w:rsid w:val="002C0C8C"/>
    <w:rsid w:val="002D71DA"/>
    <w:rsid w:val="002E6912"/>
    <w:rsid w:val="002F42A9"/>
    <w:rsid w:val="00302D83"/>
    <w:rsid w:val="0031119C"/>
    <w:rsid w:val="0031157C"/>
    <w:rsid w:val="00320083"/>
    <w:rsid w:val="003202B3"/>
    <w:rsid w:val="003314D9"/>
    <w:rsid w:val="00335545"/>
    <w:rsid w:val="00335EB2"/>
    <w:rsid w:val="00336238"/>
    <w:rsid w:val="00336CD8"/>
    <w:rsid w:val="0034165E"/>
    <w:rsid w:val="00342E02"/>
    <w:rsid w:val="003518B5"/>
    <w:rsid w:val="00373412"/>
    <w:rsid w:val="00375BF9"/>
    <w:rsid w:val="003B00FF"/>
    <w:rsid w:val="003C5608"/>
    <w:rsid w:val="003D10EB"/>
    <w:rsid w:val="003D7B49"/>
    <w:rsid w:val="003E1005"/>
    <w:rsid w:val="003E1C51"/>
    <w:rsid w:val="003E7BAC"/>
    <w:rsid w:val="003F15C1"/>
    <w:rsid w:val="003F69E2"/>
    <w:rsid w:val="0040319F"/>
    <w:rsid w:val="004224D1"/>
    <w:rsid w:val="004321B3"/>
    <w:rsid w:val="00436A3D"/>
    <w:rsid w:val="00441887"/>
    <w:rsid w:val="00450BA0"/>
    <w:rsid w:val="00453176"/>
    <w:rsid w:val="00456615"/>
    <w:rsid w:val="00460FBD"/>
    <w:rsid w:val="0047693C"/>
    <w:rsid w:val="004807AD"/>
    <w:rsid w:val="00481DEC"/>
    <w:rsid w:val="004A6D80"/>
    <w:rsid w:val="004B2329"/>
    <w:rsid w:val="004B2B8C"/>
    <w:rsid w:val="004D0C6E"/>
    <w:rsid w:val="004D108D"/>
    <w:rsid w:val="004D50AF"/>
    <w:rsid w:val="004D6A62"/>
    <w:rsid w:val="004D7EBF"/>
    <w:rsid w:val="00503A1E"/>
    <w:rsid w:val="00510D96"/>
    <w:rsid w:val="0051489A"/>
    <w:rsid w:val="00514D1F"/>
    <w:rsid w:val="005152DE"/>
    <w:rsid w:val="00522FB9"/>
    <w:rsid w:val="005253AA"/>
    <w:rsid w:val="00542F54"/>
    <w:rsid w:val="0055751A"/>
    <w:rsid w:val="0056030E"/>
    <w:rsid w:val="00564799"/>
    <w:rsid w:val="00565536"/>
    <w:rsid w:val="0057013B"/>
    <w:rsid w:val="005704CE"/>
    <w:rsid w:val="00584207"/>
    <w:rsid w:val="005851C9"/>
    <w:rsid w:val="00591BA3"/>
    <w:rsid w:val="005A496F"/>
    <w:rsid w:val="005A7B22"/>
    <w:rsid w:val="005B0C4D"/>
    <w:rsid w:val="005B3A71"/>
    <w:rsid w:val="005C4FD5"/>
    <w:rsid w:val="005E4C93"/>
    <w:rsid w:val="005E5A85"/>
    <w:rsid w:val="005E6BDC"/>
    <w:rsid w:val="005F52E4"/>
    <w:rsid w:val="00604025"/>
    <w:rsid w:val="00612D05"/>
    <w:rsid w:val="00620483"/>
    <w:rsid w:val="0062327F"/>
    <w:rsid w:val="00623849"/>
    <w:rsid w:val="00634161"/>
    <w:rsid w:val="0064773A"/>
    <w:rsid w:val="00665A3C"/>
    <w:rsid w:val="006668F5"/>
    <w:rsid w:val="006672C6"/>
    <w:rsid w:val="006811DF"/>
    <w:rsid w:val="00690B0A"/>
    <w:rsid w:val="0069545F"/>
    <w:rsid w:val="006A39AF"/>
    <w:rsid w:val="006A3D94"/>
    <w:rsid w:val="006A6045"/>
    <w:rsid w:val="006B7256"/>
    <w:rsid w:val="006D0A8D"/>
    <w:rsid w:val="006D2217"/>
    <w:rsid w:val="006D5ECF"/>
    <w:rsid w:val="006D7F33"/>
    <w:rsid w:val="006E1358"/>
    <w:rsid w:val="006F0055"/>
    <w:rsid w:val="006F0CC1"/>
    <w:rsid w:val="00705EFF"/>
    <w:rsid w:val="00707950"/>
    <w:rsid w:val="00707B1B"/>
    <w:rsid w:val="00710161"/>
    <w:rsid w:val="00723D92"/>
    <w:rsid w:val="00741842"/>
    <w:rsid w:val="00746921"/>
    <w:rsid w:val="00747103"/>
    <w:rsid w:val="00747884"/>
    <w:rsid w:val="0075676D"/>
    <w:rsid w:val="007642AE"/>
    <w:rsid w:val="00765DD2"/>
    <w:rsid w:val="00766EE2"/>
    <w:rsid w:val="0078029A"/>
    <w:rsid w:val="00786575"/>
    <w:rsid w:val="00794871"/>
    <w:rsid w:val="007A01D0"/>
    <w:rsid w:val="007A27A9"/>
    <w:rsid w:val="007B2D30"/>
    <w:rsid w:val="007C1913"/>
    <w:rsid w:val="007C308D"/>
    <w:rsid w:val="007C4615"/>
    <w:rsid w:val="007D5391"/>
    <w:rsid w:val="007E01F5"/>
    <w:rsid w:val="007E2FB2"/>
    <w:rsid w:val="007F1F5B"/>
    <w:rsid w:val="007F3CDE"/>
    <w:rsid w:val="00800CD2"/>
    <w:rsid w:val="008032A3"/>
    <w:rsid w:val="008052DB"/>
    <w:rsid w:val="0081196A"/>
    <w:rsid w:val="0081209E"/>
    <w:rsid w:val="00813DF4"/>
    <w:rsid w:val="00814EC9"/>
    <w:rsid w:val="00825DA3"/>
    <w:rsid w:val="00835261"/>
    <w:rsid w:val="008353B7"/>
    <w:rsid w:val="00851E2E"/>
    <w:rsid w:val="00852030"/>
    <w:rsid w:val="00860A75"/>
    <w:rsid w:val="008664CD"/>
    <w:rsid w:val="00867823"/>
    <w:rsid w:val="00880465"/>
    <w:rsid w:val="008936AB"/>
    <w:rsid w:val="008A1B5C"/>
    <w:rsid w:val="008B1932"/>
    <w:rsid w:val="008B61B7"/>
    <w:rsid w:val="008B6E28"/>
    <w:rsid w:val="008C0098"/>
    <w:rsid w:val="008C080E"/>
    <w:rsid w:val="008C191C"/>
    <w:rsid w:val="008C4F5A"/>
    <w:rsid w:val="008C5354"/>
    <w:rsid w:val="008D2C8D"/>
    <w:rsid w:val="008D750D"/>
    <w:rsid w:val="008E18FD"/>
    <w:rsid w:val="008E722E"/>
    <w:rsid w:val="009035CE"/>
    <w:rsid w:val="0092095D"/>
    <w:rsid w:val="00920A2A"/>
    <w:rsid w:val="00936E27"/>
    <w:rsid w:val="00944C4C"/>
    <w:rsid w:val="0094567B"/>
    <w:rsid w:val="0094772C"/>
    <w:rsid w:val="00954504"/>
    <w:rsid w:val="00960199"/>
    <w:rsid w:val="00964147"/>
    <w:rsid w:val="009A56BE"/>
    <w:rsid w:val="009C7822"/>
    <w:rsid w:val="009C7DB4"/>
    <w:rsid w:val="009D460C"/>
    <w:rsid w:val="009D47C4"/>
    <w:rsid w:val="009E1384"/>
    <w:rsid w:val="009E4F7C"/>
    <w:rsid w:val="009F65C4"/>
    <w:rsid w:val="00A0155E"/>
    <w:rsid w:val="00A02D5B"/>
    <w:rsid w:val="00A07A50"/>
    <w:rsid w:val="00A21A0D"/>
    <w:rsid w:val="00A22D35"/>
    <w:rsid w:val="00A35576"/>
    <w:rsid w:val="00A4057F"/>
    <w:rsid w:val="00A43AFB"/>
    <w:rsid w:val="00A52A84"/>
    <w:rsid w:val="00A54B76"/>
    <w:rsid w:val="00A6654E"/>
    <w:rsid w:val="00A677E3"/>
    <w:rsid w:val="00A840B1"/>
    <w:rsid w:val="00A921CB"/>
    <w:rsid w:val="00A92EAD"/>
    <w:rsid w:val="00AC71EC"/>
    <w:rsid w:val="00AD1F77"/>
    <w:rsid w:val="00AD477F"/>
    <w:rsid w:val="00AE727D"/>
    <w:rsid w:val="00AF342C"/>
    <w:rsid w:val="00B07BB8"/>
    <w:rsid w:val="00B118F4"/>
    <w:rsid w:val="00B12660"/>
    <w:rsid w:val="00B150DB"/>
    <w:rsid w:val="00B164F5"/>
    <w:rsid w:val="00B21685"/>
    <w:rsid w:val="00B2216B"/>
    <w:rsid w:val="00B2274C"/>
    <w:rsid w:val="00B31B92"/>
    <w:rsid w:val="00B40EB1"/>
    <w:rsid w:val="00B416B4"/>
    <w:rsid w:val="00B554BA"/>
    <w:rsid w:val="00B56EF2"/>
    <w:rsid w:val="00B603BF"/>
    <w:rsid w:val="00B7655B"/>
    <w:rsid w:val="00B93F97"/>
    <w:rsid w:val="00B95813"/>
    <w:rsid w:val="00BA3FD3"/>
    <w:rsid w:val="00BA4F39"/>
    <w:rsid w:val="00BB717E"/>
    <w:rsid w:val="00BC4113"/>
    <w:rsid w:val="00BC5217"/>
    <w:rsid w:val="00BE7889"/>
    <w:rsid w:val="00BF0773"/>
    <w:rsid w:val="00BF10FD"/>
    <w:rsid w:val="00BF6342"/>
    <w:rsid w:val="00BF7500"/>
    <w:rsid w:val="00C20912"/>
    <w:rsid w:val="00C34AEF"/>
    <w:rsid w:val="00C4302F"/>
    <w:rsid w:val="00C5086D"/>
    <w:rsid w:val="00C631D3"/>
    <w:rsid w:val="00C64D21"/>
    <w:rsid w:val="00C7040A"/>
    <w:rsid w:val="00C859A3"/>
    <w:rsid w:val="00CA5F6E"/>
    <w:rsid w:val="00CB7CB8"/>
    <w:rsid w:val="00CC67CE"/>
    <w:rsid w:val="00CE1D0B"/>
    <w:rsid w:val="00CE5C34"/>
    <w:rsid w:val="00CF21D2"/>
    <w:rsid w:val="00CF2623"/>
    <w:rsid w:val="00D01AB7"/>
    <w:rsid w:val="00D12391"/>
    <w:rsid w:val="00D24ACF"/>
    <w:rsid w:val="00D25680"/>
    <w:rsid w:val="00D32358"/>
    <w:rsid w:val="00D353C2"/>
    <w:rsid w:val="00D42AD9"/>
    <w:rsid w:val="00D44CB9"/>
    <w:rsid w:val="00D61268"/>
    <w:rsid w:val="00D6680F"/>
    <w:rsid w:val="00D739FB"/>
    <w:rsid w:val="00D76C1D"/>
    <w:rsid w:val="00D85C46"/>
    <w:rsid w:val="00D862BA"/>
    <w:rsid w:val="00D97E57"/>
    <w:rsid w:val="00DA2F61"/>
    <w:rsid w:val="00DA7A21"/>
    <w:rsid w:val="00DD444F"/>
    <w:rsid w:val="00DF3DE5"/>
    <w:rsid w:val="00E02FAA"/>
    <w:rsid w:val="00E13303"/>
    <w:rsid w:val="00E200A5"/>
    <w:rsid w:val="00E36A59"/>
    <w:rsid w:val="00E4207A"/>
    <w:rsid w:val="00E44F0C"/>
    <w:rsid w:val="00E4619D"/>
    <w:rsid w:val="00E620F7"/>
    <w:rsid w:val="00E653D2"/>
    <w:rsid w:val="00E6759F"/>
    <w:rsid w:val="00E87B3A"/>
    <w:rsid w:val="00E96BF0"/>
    <w:rsid w:val="00EB3508"/>
    <w:rsid w:val="00EB4AA0"/>
    <w:rsid w:val="00EB6206"/>
    <w:rsid w:val="00EC4CFB"/>
    <w:rsid w:val="00EE1C73"/>
    <w:rsid w:val="00EE1FD4"/>
    <w:rsid w:val="00EE328C"/>
    <w:rsid w:val="00EE5ECF"/>
    <w:rsid w:val="00EE686C"/>
    <w:rsid w:val="00EF1EE5"/>
    <w:rsid w:val="00EF1FE9"/>
    <w:rsid w:val="00EF5194"/>
    <w:rsid w:val="00F00ADA"/>
    <w:rsid w:val="00F0140C"/>
    <w:rsid w:val="00F05C0A"/>
    <w:rsid w:val="00F10BC3"/>
    <w:rsid w:val="00F15981"/>
    <w:rsid w:val="00F310F9"/>
    <w:rsid w:val="00F34B15"/>
    <w:rsid w:val="00F37071"/>
    <w:rsid w:val="00F54473"/>
    <w:rsid w:val="00F555F0"/>
    <w:rsid w:val="00F64520"/>
    <w:rsid w:val="00F70473"/>
    <w:rsid w:val="00F71BAC"/>
    <w:rsid w:val="00F8120D"/>
    <w:rsid w:val="00F87944"/>
    <w:rsid w:val="00F87B69"/>
    <w:rsid w:val="00F90821"/>
    <w:rsid w:val="00F916D9"/>
    <w:rsid w:val="00FB2258"/>
    <w:rsid w:val="00FC476D"/>
    <w:rsid w:val="00FC61FF"/>
    <w:rsid w:val="00FC7443"/>
    <w:rsid w:val="00FD0946"/>
    <w:rsid w:val="00FF1CB0"/>
    <w:rsid w:val="00FF28FA"/>
    <w:rsid w:val="01795C0A"/>
    <w:rsid w:val="01A3674D"/>
    <w:rsid w:val="01E30E8D"/>
    <w:rsid w:val="0A2A3F17"/>
    <w:rsid w:val="0FF9610D"/>
    <w:rsid w:val="16BC3993"/>
    <w:rsid w:val="17F34A0E"/>
    <w:rsid w:val="1D1D07CF"/>
    <w:rsid w:val="1E022C7D"/>
    <w:rsid w:val="21A70A26"/>
    <w:rsid w:val="2366207A"/>
    <w:rsid w:val="275B2A67"/>
    <w:rsid w:val="28A21209"/>
    <w:rsid w:val="30EA4A1F"/>
    <w:rsid w:val="40DB10C7"/>
    <w:rsid w:val="52C92A54"/>
    <w:rsid w:val="564B0E1F"/>
    <w:rsid w:val="58E65862"/>
    <w:rsid w:val="66DB73BC"/>
    <w:rsid w:val="6B7C5B97"/>
    <w:rsid w:val="6D690F9C"/>
    <w:rsid w:val="721C2CCE"/>
    <w:rsid w:val="7C7E699C"/>
    <w:rsid w:val="7D7F44B1"/>
    <w:rsid w:val="7DE4101C"/>
    <w:rsid w:val="7F4D4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nhideWhenUsed/>
    <w:qFormat/>
    <w:uiPriority w:val="99"/>
    <w:pPr>
      <w:snapToGrid w:val="0"/>
      <w:jc w:val="left"/>
    </w:pPr>
    <w:rPr>
      <w:sz w:val="18"/>
    </w:rPr>
  </w:style>
  <w:style w:type="character" w:styleId="8">
    <w:name w:val="footnote reference"/>
    <w:basedOn w:val="7"/>
    <w:semiHidden/>
    <w:unhideWhenUsed/>
    <w:qFormat/>
    <w:uiPriority w:val="99"/>
    <w:rPr>
      <w:vertAlign w:val="superscript"/>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793AF3-DE8B-4D6A-A1ED-B5F29C4A5E2E}">
  <ds:schemaRefs/>
</ds:datastoreItem>
</file>

<file path=docProps/app.xml><?xml version="1.0" encoding="utf-8"?>
<Properties xmlns="http://schemas.openxmlformats.org/officeDocument/2006/extended-properties" xmlns:vt="http://schemas.openxmlformats.org/officeDocument/2006/docPropsVTypes">
  <Template>Normal</Template>
  <Pages>8</Pages>
  <Words>595</Words>
  <Characters>3398</Characters>
  <Lines>28</Lines>
  <Paragraphs>7</Paragraphs>
  <TotalTime>12</TotalTime>
  <ScaleCrop>false</ScaleCrop>
  <LinksUpToDate>false</LinksUpToDate>
  <CharactersWithSpaces>3986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2024-06-03T03:28:00Z</dcterms:created>
  <dc:creator>蔡宗远</dc:creator>
  <cp:lastModifiedBy>Administrator</cp:lastModifiedBy>
  <cp:lastPrinted>2024-06-07T01:01:00Z</cp:lastPrinted>
  <dcterms:modified xsi:type="dcterms:W3CDTF">2024-06-07T10:09:31Z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DE08A49A13104B65B30214272ECAC255</vt:lpwstr>
  </property>
</Properties>
</file>