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sz w:val="32"/>
          <w:szCs w:val="32"/>
          <w:shd w:val="clear" w:color="auto" w:fill="FDFCF8"/>
          <w:lang w:val="en-US" w:eastAsia="zh-CN"/>
        </w:rPr>
      </w:pPr>
      <w:r>
        <w:rPr>
          <w:rFonts w:hint="eastAsia" w:ascii="Times New Roman" w:hAnsi="Times New Roman" w:eastAsia="仿宋_GB2312"/>
          <w:sz w:val="32"/>
          <w:szCs w:val="32"/>
          <w:shd w:val="clear" w:color="auto" w:fill="FDFCF8"/>
          <w:lang w:eastAsia="zh-CN"/>
        </w:rPr>
        <w:t>附件</w:t>
      </w:r>
      <w:r>
        <w:rPr>
          <w:rFonts w:hint="default" w:ascii="Times New Roman" w:hAnsi="Times New Roman" w:eastAsia="仿宋_GB2312" w:cs="Times New Roman"/>
          <w:sz w:val="32"/>
          <w:szCs w:val="32"/>
          <w:shd w:val="clear" w:color="auto" w:fill="FDFCF8"/>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36"/>
          <w:lang w:eastAsia="zh-CN"/>
        </w:rPr>
      </w:pPr>
    </w:p>
    <w:p>
      <w:pPr>
        <w:widowControl/>
        <w:snapToGrid w:val="0"/>
        <w:spacing w:line="560" w:lineRule="exact"/>
        <w:jc w:val="center"/>
        <w:outlineLvl w:val="1"/>
        <w:rPr>
          <w:rFonts w:hint="eastAsia" w:eastAsia="方正小标宋简体"/>
          <w:bCs/>
          <w:color w:val="000000"/>
          <w:spacing w:val="20"/>
          <w:kern w:val="0"/>
          <w:sz w:val="36"/>
          <w:szCs w:val="36"/>
          <w:lang w:val="en-US" w:eastAsia="zh-CN"/>
        </w:rPr>
      </w:pPr>
      <w:r>
        <w:rPr>
          <w:rFonts w:hint="eastAsia" w:eastAsia="方正小标宋简体"/>
          <w:bCs/>
          <w:color w:val="000000"/>
          <w:spacing w:val="20"/>
          <w:kern w:val="0"/>
          <w:sz w:val="36"/>
          <w:szCs w:val="36"/>
          <w:lang w:val="en-US" w:eastAsia="zh-CN"/>
        </w:rPr>
        <w:t>柳州市工业项目建设用地</w:t>
      </w:r>
      <w:bookmarkStart w:id="2" w:name="_GoBack"/>
      <w:r>
        <w:rPr>
          <w:rFonts w:hint="eastAsia" w:eastAsia="方正小标宋简体"/>
          <w:bCs/>
          <w:color w:val="000000"/>
          <w:spacing w:val="20"/>
          <w:kern w:val="0"/>
          <w:sz w:val="36"/>
          <w:szCs w:val="36"/>
          <w:lang w:val="en-US" w:eastAsia="zh-CN"/>
        </w:rPr>
        <w:t>控</w:t>
      </w:r>
      <w:bookmarkEnd w:id="2"/>
      <w:r>
        <w:rPr>
          <w:rFonts w:hint="eastAsia" w:eastAsia="方正小标宋简体"/>
          <w:bCs/>
          <w:color w:val="000000"/>
          <w:spacing w:val="20"/>
          <w:kern w:val="0"/>
          <w:sz w:val="36"/>
          <w:szCs w:val="36"/>
          <w:lang w:val="en-US" w:eastAsia="zh-CN"/>
        </w:rPr>
        <w:t>制指标</w:t>
      </w:r>
    </w:p>
    <w:p>
      <w:pPr>
        <w:widowControl/>
        <w:snapToGrid w:val="0"/>
        <w:spacing w:line="560" w:lineRule="exact"/>
        <w:jc w:val="center"/>
        <w:outlineLvl w:val="1"/>
        <w:rPr>
          <w:rFonts w:hint="eastAsia" w:eastAsia="方正小标宋简体"/>
          <w:bCs/>
          <w:color w:val="000000"/>
          <w:spacing w:val="20"/>
          <w:kern w:val="0"/>
          <w:sz w:val="36"/>
          <w:szCs w:val="36"/>
          <w:lang w:val="en-US" w:eastAsia="zh-CN"/>
        </w:rPr>
      </w:pPr>
      <w:r>
        <w:rPr>
          <w:rFonts w:hint="eastAsia" w:eastAsia="方正小标宋简体"/>
          <w:bCs/>
          <w:color w:val="000000"/>
          <w:spacing w:val="20"/>
          <w:kern w:val="0"/>
          <w:sz w:val="36"/>
          <w:szCs w:val="36"/>
          <w:lang w:val="en-US" w:eastAsia="zh-CN"/>
        </w:rPr>
        <w:t>（</w:t>
      </w:r>
      <w:r>
        <w:rPr>
          <w:rFonts w:hint="default" w:ascii="Times New Roman" w:hAnsi="Times New Roman" w:eastAsia="方正小标宋简体" w:cs="Times New Roman"/>
          <w:bCs/>
          <w:color w:val="000000"/>
          <w:spacing w:val="20"/>
          <w:kern w:val="0"/>
          <w:sz w:val="36"/>
          <w:szCs w:val="36"/>
          <w:lang w:val="en-US" w:eastAsia="zh-CN"/>
        </w:rPr>
        <w:t>2025</w:t>
      </w:r>
      <w:r>
        <w:rPr>
          <w:rFonts w:hint="eastAsia" w:eastAsia="方正小标宋简体"/>
          <w:bCs/>
          <w:color w:val="000000"/>
          <w:spacing w:val="20"/>
          <w:kern w:val="0"/>
          <w:sz w:val="36"/>
          <w:szCs w:val="36"/>
          <w:lang w:val="en-US" w:eastAsia="zh-CN"/>
        </w:rPr>
        <w:t>年修订）（征求意见稿）</w:t>
      </w:r>
    </w:p>
    <w:p>
      <w:pPr>
        <w:spacing w:line="540" w:lineRule="exact"/>
        <w:ind w:firstLine="640" w:firstLineChars="200"/>
        <w:rPr>
          <w:rFonts w:hint="eastAsia" w:eastAsia="仿宋_GB2312"/>
          <w:color w:val="000000"/>
          <w:sz w:val="32"/>
          <w:szCs w:val="32"/>
        </w:rPr>
      </w:pPr>
    </w:p>
    <w:p>
      <w:pPr>
        <w:spacing w:line="540" w:lineRule="exact"/>
        <w:ind w:firstLine="640" w:firstLineChars="200"/>
        <w:rPr>
          <w:rFonts w:eastAsia="仿宋_GB2312"/>
          <w:color w:val="000000"/>
          <w:sz w:val="32"/>
          <w:szCs w:val="32"/>
        </w:rPr>
      </w:pPr>
      <w:r>
        <w:rPr>
          <w:rFonts w:hint="eastAsia" w:eastAsia="仿宋_GB2312"/>
          <w:color w:val="000000"/>
          <w:sz w:val="32"/>
          <w:szCs w:val="32"/>
        </w:rPr>
        <w:t>一、为加强工业项目建设用地管理，促进工业用地节约集约和高效利用，制定本建设用地控制指标（以下简称</w:t>
      </w:r>
      <w:r>
        <w:rPr>
          <w:rFonts w:eastAsia="仿宋_GB2312"/>
          <w:color w:val="000000"/>
          <w:sz w:val="32"/>
          <w:szCs w:val="32"/>
        </w:rPr>
        <w:t>“</w:t>
      </w:r>
      <w:r>
        <w:rPr>
          <w:rFonts w:hint="eastAsia" w:eastAsia="仿宋_GB2312"/>
          <w:color w:val="000000"/>
          <w:sz w:val="32"/>
          <w:szCs w:val="32"/>
        </w:rPr>
        <w:t>控制指标</w:t>
      </w:r>
      <w:r>
        <w:rPr>
          <w:rFonts w:eastAsia="仿宋_GB2312"/>
          <w:color w:val="000000"/>
          <w:sz w:val="32"/>
          <w:szCs w:val="32"/>
        </w:rPr>
        <w:t>”</w:t>
      </w:r>
      <w:r>
        <w:rPr>
          <w:rFonts w:hint="eastAsia" w:eastAsia="仿宋_GB2312"/>
          <w:color w:val="000000"/>
          <w:sz w:val="32"/>
          <w:szCs w:val="32"/>
        </w:rPr>
        <w:t>）。</w:t>
      </w:r>
    </w:p>
    <w:p>
      <w:pPr>
        <w:spacing w:line="540" w:lineRule="exact"/>
        <w:ind w:firstLine="640" w:firstLineChars="200"/>
        <w:rPr>
          <w:rFonts w:eastAsia="仿宋_GB2312"/>
          <w:color w:val="000000"/>
          <w:sz w:val="32"/>
          <w:szCs w:val="32"/>
        </w:rPr>
      </w:pPr>
      <w:r>
        <w:rPr>
          <w:rFonts w:hint="eastAsia" w:eastAsia="仿宋_GB2312"/>
          <w:color w:val="000000"/>
          <w:sz w:val="32"/>
          <w:szCs w:val="32"/>
        </w:rPr>
        <w:t>二、为了达到集约用地、布局集中、产业集聚的目的，工业项目除对资源、环境、地质等条件有特殊要求外，原则上安排进入各类产业园区。</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三、本控制指标是对工业项目（或单项工程）及其配套工程在土地利用上进行控制的标准，适用于新建、改建工业项目。按照工业用地落实土地用途的战略性新兴产业、先进制造业项目，应执行本控制指标。</w:t>
      </w:r>
    </w:p>
    <w:p>
      <w:pPr>
        <w:spacing w:line="540" w:lineRule="exact"/>
        <w:ind w:firstLine="640" w:firstLineChars="200"/>
        <w:rPr>
          <w:rFonts w:eastAsia="仿宋_GB2312"/>
          <w:color w:val="000000"/>
          <w:sz w:val="32"/>
          <w:szCs w:val="32"/>
        </w:rPr>
      </w:pPr>
      <w:r>
        <w:rPr>
          <w:rFonts w:hint="eastAsia" w:eastAsia="仿宋_GB2312"/>
          <w:color w:val="000000"/>
          <w:sz w:val="32"/>
          <w:szCs w:val="32"/>
        </w:rPr>
        <w:t>四、本控制指标适用于</w:t>
      </w:r>
      <w:r>
        <w:rPr>
          <w:rFonts w:hint="eastAsia" w:eastAsia="仿宋_GB2312"/>
          <w:color w:val="000000"/>
          <w:sz w:val="32"/>
          <w:szCs w:val="32"/>
          <w:lang w:eastAsia="zh-CN"/>
        </w:rPr>
        <w:t>柳州市市区范围内</w:t>
      </w:r>
      <w:r>
        <w:rPr>
          <w:rFonts w:hint="eastAsia" w:eastAsia="仿宋_GB2312"/>
          <w:color w:val="000000"/>
          <w:sz w:val="32"/>
          <w:szCs w:val="32"/>
        </w:rPr>
        <w:t>国有土地上的工业项目建设，集体土地上的工业项目建设应参照执行</w:t>
      </w:r>
      <w:r>
        <w:rPr>
          <w:rFonts w:hint="eastAsia" w:eastAsia="仿宋_GB2312"/>
          <w:color w:val="000000"/>
          <w:sz w:val="32"/>
          <w:szCs w:val="32"/>
          <w:lang w:eastAsia="zh-CN"/>
        </w:rPr>
        <w:t>。</w:t>
      </w:r>
      <w:r>
        <w:rPr>
          <w:rFonts w:ascii="Times New Roman" w:hAnsi="Times New Roman" w:eastAsia="仿宋"/>
          <w:sz w:val="32"/>
          <w:szCs w:val="32"/>
        </w:rPr>
        <w:t>各县工业园区试行工业项目“标准地”出让的，可参照执行</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五、项目建设用地应符合国土空间规划要求，尽可能利用未利用地，不占或少占耕地特别是优质耕地，禁止占用永久基本农田。改、扩建项目应充分利用原有的场地和设施，尽量减少新增建设用地。</w:t>
      </w:r>
    </w:p>
    <w:p>
      <w:pPr>
        <w:spacing w:line="540" w:lineRule="exact"/>
        <w:ind w:firstLine="640" w:firstLineChars="200"/>
        <w:rPr>
          <w:rFonts w:eastAsia="仿宋_GB2312"/>
          <w:color w:val="000000"/>
          <w:sz w:val="32"/>
          <w:szCs w:val="32"/>
        </w:rPr>
      </w:pPr>
      <w:r>
        <w:rPr>
          <w:rFonts w:hint="eastAsia" w:eastAsia="仿宋_GB2312"/>
          <w:color w:val="000000"/>
          <w:sz w:val="32"/>
          <w:szCs w:val="32"/>
        </w:rPr>
        <w:t>六、本控制指标是核定工业项目用地规模、评价工业用地利用效率的重要标准，是编制项目用地有关法律文书、项目初步设计文件和可行性研究报告等的重要依据，是对项目建设情况进行检查验收和违约责任追究的重要尺度。</w:t>
      </w:r>
    </w:p>
    <w:p>
      <w:pPr>
        <w:spacing w:line="540" w:lineRule="exact"/>
        <w:ind w:firstLine="640" w:firstLineChars="200"/>
        <w:rPr>
          <w:rFonts w:eastAsia="仿宋_GB2312"/>
          <w:color w:val="000000"/>
          <w:sz w:val="32"/>
          <w:szCs w:val="32"/>
        </w:rPr>
      </w:pPr>
      <w:r>
        <w:rPr>
          <w:rFonts w:hint="eastAsia" w:eastAsia="仿宋_GB2312"/>
          <w:color w:val="000000"/>
          <w:sz w:val="32"/>
          <w:szCs w:val="32"/>
        </w:rPr>
        <w:t>工业项目所属行业已有国家颁布的有关工程项目建设用地指标的，应同时满足本控制指标和有关工程项目建设用地指标的要求。</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七、工业项目建设用地投资强度、</w:t>
      </w:r>
      <w:r>
        <w:rPr>
          <w:rFonts w:hint="eastAsia" w:eastAsia="仿宋_GB2312"/>
          <w:color w:val="000000"/>
          <w:sz w:val="32"/>
          <w:szCs w:val="32"/>
          <w:lang w:eastAsia="zh-CN"/>
        </w:rPr>
        <w:t>地均税收、产出强度</w:t>
      </w:r>
      <w:r>
        <w:rPr>
          <w:rFonts w:hint="eastAsia" w:eastAsia="仿宋_GB2312"/>
          <w:color w:val="000000"/>
          <w:sz w:val="32"/>
          <w:szCs w:val="32"/>
        </w:rPr>
        <w:t>、行政办公及生活服务设施用地所占比重、绿地率必须同时符合以下规定：</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（一）工业项目投资强度、</w:t>
      </w:r>
      <w:r>
        <w:rPr>
          <w:rFonts w:hint="eastAsia" w:eastAsia="仿宋_GB2312"/>
          <w:color w:val="000000"/>
          <w:sz w:val="32"/>
          <w:szCs w:val="32"/>
          <w:lang w:eastAsia="zh-CN"/>
        </w:rPr>
        <w:t>地均税收、产出强度</w:t>
      </w:r>
      <w:r>
        <w:rPr>
          <w:rFonts w:hint="eastAsia" w:eastAsia="仿宋_GB2312"/>
          <w:color w:val="000000"/>
          <w:sz w:val="32"/>
          <w:szCs w:val="32"/>
        </w:rPr>
        <w:t>控制指标应符合</w:t>
      </w:r>
      <w:r>
        <w:rPr>
          <w:rFonts w:hint="eastAsia" w:eastAsia="仿宋_GB2312"/>
          <w:color w:val="000000"/>
          <w:sz w:val="32"/>
          <w:szCs w:val="32"/>
          <w:lang w:eastAsia="zh-CN"/>
        </w:rPr>
        <w:t>附件</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w:t>
      </w:r>
      <w:r>
        <w:rPr>
          <w:rFonts w:hint="eastAsia" w:eastAsia="仿宋_GB2312"/>
          <w:color w:val="000000"/>
          <w:sz w:val="32"/>
          <w:szCs w:val="32"/>
        </w:rPr>
        <w:t>的规定。</w:t>
      </w:r>
    </w:p>
    <w:p>
      <w:pPr>
        <w:spacing w:line="540" w:lineRule="exact"/>
        <w:ind w:firstLine="640" w:firstLineChars="200"/>
        <w:rPr>
          <w:rFonts w:eastAsia="仿宋_GB2312"/>
          <w:color w:val="000000"/>
          <w:sz w:val="32"/>
          <w:szCs w:val="32"/>
        </w:rPr>
      </w:pPr>
      <w:r>
        <w:rPr>
          <w:rFonts w:hint="eastAsia" w:eastAsia="仿宋_GB2312"/>
          <w:color w:val="000000"/>
          <w:sz w:val="32"/>
          <w:szCs w:val="32"/>
        </w:rPr>
        <w:t>（二）工业项目用地范围内行政办公及生活服务设施用地不得分割转让；原则上用地面积不得大于工业项目总用地面积的</w:t>
      </w:r>
      <w:r>
        <w:rPr>
          <w:rFonts w:hint="default" w:ascii="Times New Roman" w:hAnsi="Times New Roman" w:eastAsia="仿宋_GB2312" w:cs="Times New Roman"/>
          <w:color w:val="000000"/>
          <w:sz w:val="32"/>
          <w:szCs w:val="32"/>
        </w:rPr>
        <w:t>7</w:t>
      </w:r>
      <w:r>
        <w:rPr>
          <w:rFonts w:eastAsia="仿宋_GB2312"/>
          <w:color w:val="000000"/>
          <w:sz w:val="32"/>
          <w:szCs w:val="32"/>
        </w:rPr>
        <w:t>%</w:t>
      </w:r>
      <w:r>
        <w:rPr>
          <w:rFonts w:hint="eastAsia" w:eastAsia="仿宋_GB2312"/>
          <w:color w:val="000000"/>
          <w:sz w:val="32"/>
          <w:szCs w:val="32"/>
        </w:rPr>
        <w:t>，建筑面积不得大于工业项目总建筑面积的</w:t>
      </w:r>
      <w:r>
        <w:rPr>
          <w:rFonts w:hint="default" w:ascii="Times New Roman" w:hAnsi="Times New Roman" w:eastAsia="仿宋_GB2312" w:cs="Times New Roman"/>
          <w:color w:val="000000"/>
          <w:sz w:val="32"/>
          <w:szCs w:val="32"/>
        </w:rPr>
        <w:t>15</w:t>
      </w:r>
      <w:r>
        <w:rPr>
          <w:rFonts w:eastAsia="仿宋_GB2312"/>
          <w:color w:val="000000"/>
          <w:sz w:val="32"/>
          <w:szCs w:val="32"/>
        </w:rPr>
        <w:t>%</w:t>
      </w:r>
      <w:r>
        <w:rPr>
          <w:rFonts w:hint="eastAsia" w:eastAsia="仿宋_GB2312"/>
          <w:color w:val="000000"/>
          <w:sz w:val="32"/>
          <w:szCs w:val="32"/>
        </w:rPr>
        <w:t>；经城市人民政府同意，在确保安全的前提下，可将产业园区中工业项目配套建设行政办公及生活服务设施的用地面积占项目总用地面积的比例上限由</w:t>
      </w:r>
      <w:r>
        <w:rPr>
          <w:rFonts w:hint="default" w:ascii="Times New Roman" w:hAnsi="Times New Roman" w:eastAsia="仿宋_GB2312" w:cs="Times New Roman"/>
          <w:color w:val="000000"/>
          <w:sz w:val="32"/>
          <w:szCs w:val="32"/>
        </w:rPr>
        <w:t>7</w:t>
      </w:r>
      <w:r>
        <w:rPr>
          <w:rFonts w:eastAsia="仿宋_GB2312"/>
          <w:color w:val="000000"/>
          <w:sz w:val="32"/>
          <w:szCs w:val="32"/>
        </w:rPr>
        <w:t>%</w:t>
      </w:r>
      <w:r>
        <w:rPr>
          <w:rFonts w:hint="eastAsia" w:eastAsia="仿宋_GB2312"/>
          <w:color w:val="000000"/>
          <w:sz w:val="32"/>
          <w:szCs w:val="32"/>
        </w:rPr>
        <w:t>提高到</w:t>
      </w:r>
      <w:r>
        <w:rPr>
          <w:rFonts w:hint="default" w:ascii="Times New Roman" w:hAnsi="Times New Roman" w:eastAsia="仿宋_GB2312" w:cs="Times New Roman"/>
          <w:color w:val="000000"/>
          <w:sz w:val="32"/>
          <w:szCs w:val="32"/>
        </w:rPr>
        <w:t>15</w:t>
      </w:r>
      <w:r>
        <w:rPr>
          <w:rFonts w:eastAsia="仿宋_GB2312"/>
          <w:color w:val="000000"/>
          <w:sz w:val="32"/>
          <w:szCs w:val="32"/>
        </w:rPr>
        <w:t>%</w:t>
      </w:r>
      <w:r>
        <w:rPr>
          <w:rFonts w:hint="eastAsia" w:eastAsia="仿宋_GB2312"/>
          <w:color w:val="000000"/>
          <w:sz w:val="32"/>
          <w:szCs w:val="32"/>
        </w:rPr>
        <w:t>，且建筑面积不得大于总建筑面积的</w:t>
      </w:r>
      <w:r>
        <w:rPr>
          <w:rFonts w:hint="default" w:ascii="Times New Roman" w:hAnsi="Times New Roman" w:eastAsia="仿宋_GB2312" w:cs="Times New Roman"/>
          <w:color w:val="000000"/>
          <w:sz w:val="32"/>
          <w:szCs w:val="32"/>
        </w:rPr>
        <w:t>30</w:t>
      </w:r>
      <w:r>
        <w:rPr>
          <w:rFonts w:eastAsia="仿宋_GB2312"/>
          <w:color w:val="000000"/>
          <w:sz w:val="32"/>
          <w:szCs w:val="32"/>
        </w:rPr>
        <w:t>%</w:t>
      </w:r>
      <w:r>
        <w:rPr>
          <w:rFonts w:hint="eastAsia" w:eastAsia="仿宋_GB2312"/>
          <w:color w:val="000000"/>
          <w:sz w:val="32"/>
          <w:szCs w:val="32"/>
        </w:rPr>
        <w:t>，提高部分主要用于建设宿舍型保障性租赁住房。严禁建造成套住宅、专家楼、宾馆、招待所和培训中心等非生产性配套设施。</w:t>
      </w:r>
    </w:p>
    <w:p>
      <w:pPr>
        <w:spacing w:line="540" w:lineRule="exact"/>
        <w:ind w:firstLine="640" w:firstLineChars="200"/>
        <w:rPr>
          <w:rFonts w:eastAsia="仿宋_GB2312"/>
          <w:color w:val="000000"/>
          <w:sz w:val="32"/>
          <w:szCs w:val="32"/>
        </w:rPr>
      </w:pPr>
      <w:r>
        <w:rPr>
          <w:rFonts w:hint="eastAsia" w:eastAsia="仿宋_GB2312"/>
          <w:color w:val="000000"/>
          <w:sz w:val="32"/>
          <w:szCs w:val="32"/>
        </w:rPr>
        <w:t>（三）工业企业内部一般不得安排非安全生产必需的绿地。工业项目绿化布置应符合《城市绿地规划标准》（</w:t>
      </w:r>
      <w:r>
        <w:rPr>
          <w:rFonts w:eastAsia="仿宋_GB2312"/>
          <w:color w:val="000000"/>
          <w:sz w:val="32"/>
          <w:szCs w:val="32"/>
        </w:rPr>
        <w:t>GB/T</w:t>
      </w:r>
      <w:r>
        <w:rPr>
          <w:rFonts w:hint="default" w:ascii="Times New Roman" w:hAnsi="Times New Roman" w:eastAsia="仿宋_GB2312" w:cs="Times New Roman"/>
          <w:color w:val="000000"/>
          <w:sz w:val="32"/>
          <w:szCs w:val="32"/>
        </w:rPr>
        <w:t>51346</w:t>
      </w:r>
      <w:r>
        <w:rPr>
          <w:rFonts w:eastAsia="仿宋_GB2312"/>
          <w:color w:val="000000"/>
          <w:sz w:val="32"/>
          <w:szCs w:val="32"/>
        </w:rPr>
        <w:t>-</w:t>
      </w:r>
      <w:r>
        <w:rPr>
          <w:rFonts w:hint="default" w:ascii="Times New Roman" w:hAnsi="Times New Roman" w:eastAsia="仿宋_GB2312" w:cs="Times New Roman"/>
          <w:color w:val="000000"/>
          <w:sz w:val="32"/>
          <w:szCs w:val="32"/>
        </w:rPr>
        <w:t>2019</w:t>
      </w:r>
      <w:r>
        <w:rPr>
          <w:rFonts w:hint="eastAsia" w:eastAsia="仿宋_GB2312"/>
          <w:color w:val="000000"/>
          <w:sz w:val="32"/>
          <w:szCs w:val="32"/>
        </w:rPr>
        <w:t>）的要求。</w:t>
      </w:r>
    </w:p>
    <w:p>
      <w:pPr>
        <w:spacing w:line="540" w:lineRule="exact"/>
        <w:ind w:firstLine="640" w:firstLineChars="200"/>
        <w:rPr>
          <w:rFonts w:eastAsia="仿宋_GB2312"/>
          <w:color w:val="000000"/>
          <w:sz w:val="32"/>
          <w:szCs w:val="32"/>
        </w:rPr>
      </w:pPr>
      <w:r>
        <w:rPr>
          <w:rFonts w:hint="eastAsia" w:eastAsia="仿宋_GB2312"/>
          <w:color w:val="000000"/>
          <w:sz w:val="32"/>
          <w:szCs w:val="32"/>
          <w:lang w:eastAsia="zh-CN"/>
        </w:rPr>
        <w:t>八</w:t>
      </w:r>
      <w:r>
        <w:rPr>
          <w:rFonts w:hint="eastAsia" w:eastAsia="仿宋_GB2312"/>
          <w:color w:val="000000"/>
          <w:sz w:val="32"/>
          <w:szCs w:val="32"/>
        </w:rPr>
        <w:t>、工业项目建设应采用先进、成熟的生产工艺、生产设备，缩短工艺流程，鼓励建设多层工业厂房，鼓励工业企业合理利用地上、地下空间。</w:t>
      </w:r>
    </w:p>
    <w:p>
      <w:pPr>
        <w:spacing w:line="540" w:lineRule="exact"/>
        <w:ind w:firstLine="640" w:firstLineChars="200"/>
        <w:rPr>
          <w:rFonts w:eastAsia="仿宋_GB2312"/>
          <w:color w:val="000000"/>
          <w:sz w:val="32"/>
          <w:szCs w:val="32"/>
        </w:rPr>
      </w:pPr>
      <w:r>
        <w:rPr>
          <w:rFonts w:hint="eastAsia" w:eastAsia="仿宋_GB2312"/>
          <w:color w:val="000000"/>
          <w:sz w:val="32"/>
          <w:szCs w:val="32"/>
          <w:lang w:eastAsia="zh-CN"/>
        </w:rPr>
        <w:t>九</w:t>
      </w:r>
      <w:r>
        <w:rPr>
          <w:rFonts w:hint="eastAsia" w:eastAsia="仿宋_GB2312"/>
          <w:color w:val="000000"/>
          <w:sz w:val="32"/>
          <w:szCs w:val="32"/>
        </w:rPr>
        <w:t>、建设项目竣工、投产、达产验收时，未达到本控制指标要求的，应依照合同约定及有关规定追究违约责任。</w:t>
      </w:r>
    </w:p>
    <w:p>
      <w:pPr>
        <w:spacing w:line="540" w:lineRule="exact"/>
        <w:ind w:firstLine="640" w:firstLineChars="200"/>
        <w:rPr>
          <w:rFonts w:eastAsia="仿宋_GB2312"/>
          <w:color w:val="000000"/>
          <w:sz w:val="32"/>
          <w:szCs w:val="32"/>
        </w:rPr>
      </w:pPr>
      <w:r>
        <w:rPr>
          <w:rFonts w:hint="eastAsia" w:eastAsia="仿宋_GB2312"/>
          <w:color w:val="000000"/>
          <w:sz w:val="32"/>
          <w:szCs w:val="32"/>
        </w:rPr>
        <w:t>十、本控制指标中工业行业分类按《国民经济行业分类》（</w:t>
      </w:r>
      <w:r>
        <w:rPr>
          <w:rFonts w:eastAsia="仿宋_GB2312"/>
          <w:color w:val="000000"/>
          <w:sz w:val="32"/>
          <w:szCs w:val="32"/>
        </w:rPr>
        <w:t>GB/T</w:t>
      </w:r>
      <w:r>
        <w:rPr>
          <w:rFonts w:hint="default" w:ascii="Times New Roman" w:hAnsi="Times New Roman" w:eastAsia="仿宋_GB2312" w:cs="Times New Roman"/>
          <w:color w:val="000000"/>
          <w:sz w:val="32"/>
          <w:szCs w:val="32"/>
        </w:rPr>
        <w:t>4754</w:t>
      </w:r>
      <w:r>
        <w:rPr>
          <w:rFonts w:eastAsia="仿宋_GB2312"/>
          <w:color w:val="000000"/>
          <w:sz w:val="32"/>
          <w:szCs w:val="32"/>
        </w:rPr>
        <w:t>-</w:t>
      </w:r>
      <w:r>
        <w:rPr>
          <w:rFonts w:hint="default" w:ascii="Times New Roman" w:hAnsi="Times New Roman" w:eastAsia="仿宋_GB2312" w:cs="Times New Roman"/>
          <w:color w:val="000000"/>
          <w:sz w:val="32"/>
          <w:szCs w:val="32"/>
        </w:rPr>
        <w:t>2017</w:t>
      </w:r>
      <w:r>
        <w:rPr>
          <w:rFonts w:hint="eastAsia" w:eastAsia="仿宋_GB2312"/>
          <w:color w:val="000000"/>
          <w:sz w:val="32"/>
          <w:szCs w:val="32"/>
        </w:rPr>
        <w:t>）执行。战略性新兴产业分类按《战略性新兴产业分类（</w:t>
      </w:r>
      <w:r>
        <w:rPr>
          <w:rFonts w:hint="default" w:ascii="Times New Roman" w:hAnsi="Times New Roman" w:eastAsia="仿宋_GB2312" w:cs="Times New Roman"/>
          <w:color w:val="000000"/>
          <w:sz w:val="32"/>
          <w:szCs w:val="32"/>
        </w:rPr>
        <w:t>2018</w:t>
      </w:r>
      <w:r>
        <w:rPr>
          <w:rFonts w:hint="eastAsia" w:eastAsia="仿宋_GB2312"/>
          <w:color w:val="000000"/>
          <w:sz w:val="32"/>
          <w:szCs w:val="32"/>
        </w:rPr>
        <w:t>）》（国家统计局令第</w:t>
      </w:r>
      <w:r>
        <w:rPr>
          <w:rFonts w:hint="default" w:ascii="Times New Roman" w:hAnsi="Times New Roman" w:eastAsia="仿宋_GB2312" w:cs="Times New Roman"/>
          <w:color w:val="000000"/>
          <w:sz w:val="32"/>
          <w:szCs w:val="32"/>
        </w:rPr>
        <w:t>23</w:t>
      </w:r>
      <w:r>
        <w:rPr>
          <w:rFonts w:hint="eastAsia" w:eastAsia="仿宋_GB2312"/>
          <w:color w:val="000000"/>
          <w:sz w:val="32"/>
          <w:szCs w:val="32"/>
        </w:rPr>
        <w:t>号）执行，先进制造业分类按《新产业新业态新商业模式统计分类（</w:t>
      </w:r>
      <w:r>
        <w:rPr>
          <w:rFonts w:hint="default" w:ascii="Times New Roman" w:hAnsi="Times New Roman" w:eastAsia="仿宋_GB2312" w:cs="Times New Roman"/>
          <w:color w:val="000000"/>
          <w:sz w:val="32"/>
          <w:szCs w:val="32"/>
        </w:rPr>
        <w:t>2018</w:t>
      </w:r>
      <w:r>
        <w:rPr>
          <w:rFonts w:hint="eastAsia" w:eastAsia="仿宋_GB2312"/>
          <w:color w:val="000000"/>
          <w:sz w:val="32"/>
          <w:szCs w:val="32"/>
        </w:rPr>
        <w:t>）》（国统字〔</w:t>
      </w:r>
      <w:r>
        <w:rPr>
          <w:rFonts w:hint="default" w:ascii="Times New Roman" w:hAnsi="Times New Roman" w:eastAsia="仿宋_GB2312" w:cs="Times New Roman"/>
          <w:color w:val="000000"/>
          <w:sz w:val="32"/>
          <w:szCs w:val="32"/>
        </w:rPr>
        <w:t>2018</w:t>
      </w:r>
      <w:r>
        <w:rPr>
          <w:rFonts w:hint="eastAsia" w:eastAsia="仿宋_GB2312"/>
          <w:color w:val="000000"/>
          <w:sz w:val="32"/>
          <w:szCs w:val="32"/>
        </w:rPr>
        <w:t>〕</w:t>
      </w:r>
      <w:r>
        <w:rPr>
          <w:rFonts w:hint="default" w:ascii="Times New Roman" w:hAnsi="Times New Roman" w:eastAsia="仿宋_GB2312" w:cs="Times New Roman"/>
          <w:color w:val="000000"/>
          <w:sz w:val="32"/>
          <w:szCs w:val="32"/>
        </w:rPr>
        <w:t>111</w:t>
      </w:r>
      <w:r>
        <w:rPr>
          <w:rFonts w:hint="eastAsia" w:eastAsia="仿宋_GB2312"/>
          <w:color w:val="000000"/>
          <w:sz w:val="32"/>
          <w:szCs w:val="32"/>
        </w:rPr>
        <w:t>号）执行。土地等别依据《城镇土地分等定级规程》（</w:t>
      </w:r>
      <w:r>
        <w:rPr>
          <w:rFonts w:eastAsia="仿宋_GB2312"/>
          <w:color w:val="000000"/>
          <w:sz w:val="32"/>
          <w:szCs w:val="32"/>
        </w:rPr>
        <w:t>GB/T</w:t>
      </w:r>
      <w:r>
        <w:rPr>
          <w:rFonts w:hint="default" w:ascii="Times New Roman" w:hAnsi="Times New Roman" w:eastAsia="仿宋_GB2312" w:cs="Times New Roman"/>
          <w:color w:val="000000"/>
          <w:sz w:val="32"/>
          <w:szCs w:val="32"/>
        </w:rPr>
        <w:t>18507</w:t>
      </w:r>
      <w:r>
        <w:rPr>
          <w:rFonts w:eastAsia="仿宋_GB2312"/>
          <w:color w:val="000000"/>
          <w:sz w:val="32"/>
          <w:szCs w:val="32"/>
        </w:rPr>
        <w:t>-</w:t>
      </w:r>
      <w:r>
        <w:rPr>
          <w:rFonts w:hint="default" w:ascii="Times New Roman" w:hAnsi="Times New Roman" w:eastAsia="仿宋_GB2312" w:cs="Times New Roman"/>
          <w:color w:val="000000"/>
          <w:sz w:val="32"/>
          <w:szCs w:val="32"/>
        </w:rPr>
        <w:t>2014</w:t>
      </w:r>
      <w:r>
        <w:rPr>
          <w:rFonts w:hint="eastAsia" w:eastAsia="仿宋_GB2312"/>
          <w:color w:val="000000"/>
          <w:sz w:val="32"/>
          <w:szCs w:val="32"/>
        </w:rPr>
        <w:t>）制定的城镇土地等别执行。上述部门规章、国家标准发生修订的，按照</w:t>
      </w:r>
      <w:r>
        <w:rPr>
          <w:rFonts w:hint="eastAsia" w:eastAsia="仿宋_GB2312"/>
          <w:color w:val="000000"/>
          <w:sz w:val="32"/>
          <w:szCs w:val="32"/>
          <w:lang w:eastAsia="zh-CN"/>
        </w:rPr>
        <w:t>最新</w:t>
      </w:r>
      <w:r>
        <w:rPr>
          <w:rFonts w:hint="eastAsia" w:eastAsia="仿宋_GB2312"/>
          <w:color w:val="000000"/>
          <w:sz w:val="32"/>
          <w:szCs w:val="32"/>
        </w:rPr>
        <w:t>修订后的执行。</w:t>
      </w:r>
    </w:p>
    <w:p>
      <w:pPr>
        <w:ind w:firstLine="640" w:firstLineChars="200"/>
        <w:jc w:val="left"/>
        <w:rPr>
          <w:rFonts w:hint="eastAsia" w:eastAsia="仿宋_GB2312"/>
          <w:color w:val="000000"/>
          <w:sz w:val="32"/>
          <w:szCs w:val="32"/>
        </w:rPr>
      </w:pPr>
      <w:r>
        <w:rPr>
          <w:rFonts w:hint="eastAsia" w:eastAsia="仿宋_GB2312"/>
          <w:color w:val="000000"/>
          <w:sz w:val="32"/>
          <w:szCs w:val="32"/>
        </w:rPr>
        <w:t>十</w:t>
      </w:r>
      <w:r>
        <w:rPr>
          <w:rFonts w:hint="eastAsia" w:eastAsia="仿宋_GB2312"/>
          <w:color w:val="000000"/>
          <w:sz w:val="32"/>
          <w:szCs w:val="32"/>
          <w:lang w:eastAsia="zh-CN"/>
        </w:rPr>
        <w:t>一</w:t>
      </w:r>
      <w:r>
        <w:rPr>
          <w:rFonts w:hint="eastAsia" w:eastAsia="仿宋_GB2312"/>
          <w:color w:val="000000"/>
          <w:sz w:val="32"/>
          <w:szCs w:val="32"/>
        </w:rPr>
        <w:t>、本控制指标自发布之日起执行。</w:t>
      </w:r>
    </w:p>
    <w:p>
      <w:pPr>
        <w:spacing w:line="540" w:lineRule="exact"/>
        <w:ind w:firstLine="640" w:firstLineChars="200"/>
        <w:rPr>
          <w:rFonts w:hint="eastAsia" w:eastAsia="仿宋_GB2312"/>
          <w:color w:val="000000"/>
          <w:sz w:val="32"/>
          <w:szCs w:val="32"/>
        </w:rPr>
      </w:pPr>
      <w:bookmarkStart w:id="0" w:name="_Toc655"/>
    </w:p>
    <w:p>
      <w:pPr>
        <w:spacing w:line="540" w:lineRule="exact"/>
        <w:ind w:firstLine="640" w:firstLineChars="200"/>
        <w:rPr>
          <w:rFonts w:eastAsia="仿宋_GB2312"/>
          <w:color w:val="000000"/>
          <w:sz w:val="32"/>
          <w:szCs w:val="32"/>
        </w:rPr>
      </w:pPr>
      <w:r>
        <w:rPr>
          <w:rFonts w:hint="eastAsia" w:eastAsia="仿宋_GB2312"/>
          <w:color w:val="000000"/>
          <w:sz w:val="32"/>
          <w:szCs w:val="32"/>
        </w:rPr>
        <w:t>附件：</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1</w:t>
      </w:r>
      <w:r>
        <w:rPr>
          <w:rFonts w:eastAsia="仿宋_GB2312"/>
          <w:color w:val="000000"/>
          <w:sz w:val="32"/>
          <w:szCs w:val="32"/>
        </w:rPr>
        <w:t xml:space="preserve"> </w:t>
      </w:r>
      <w:r>
        <w:rPr>
          <w:rFonts w:hint="eastAsia" w:eastAsia="仿宋_GB2312"/>
          <w:color w:val="000000"/>
          <w:sz w:val="32"/>
          <w:szCs w:val="32"/>
        </w:rPr>
        <w:t>控制指标说明</w:t>
      </w:r>
      <w:bookmarkEnd w:id="0"/>
    </w:p>
    <w:p>
      <w:pPr>
        <w:keepNext w:val="0"/>
        <w:keepLines w:val="0"/>
        <w:widowControl/>
        <w:suppressLineNumbers w:val="0"/>
        <w:jc w:val="both"/>
        <w:textAlignment w:val="center"/>
        <w:rPr>
          <w:rFonts w:hint="eastAsia" w:ascii="仿宋_GB2312" w:hAnsi="Times New Roman" w:eastAsia="仿宋_GB2312" w:cs="Times New Roman"/>
          <w:sz w:val="32"/>
          <w:szCs w:val="32"/>
          <w:lang w:val="en-US" w:eastAsia="zh-CN"/>
        </w:rPr>
      </w:pPr>
      <w:r>
        <w:rPr>
          <w:rFonts w:eastAsia="仿宋_GB2312"/>
          <w:color w:val="000000"/>
          <w:sz w:val="32"/>
          <w:szCs w:val="32"/>
        </w:rPr>
        <w:t xml:space="preserve">    </w:t>
      </w:r>
      <w:r>
        <w:rPr>
          <w:rFonts w:hint="eastAsia" w:eastAsia="仿宋_GB2312"/>
          <w:color w:val="000000"/>
          <w:sz w:val="32"/>
          <w:szCs w:val="32"/>
          <w:lang w:val="en-US" w:eastAsia="zh-CN"/>
        </w:rPr>
        <w:t xml:space="preserve">    </w:t>
      </w:r>
      <w:r>
        <w:rPr>
          <w:rFonts w:eastAsia="仿宋_GB2312"/>
          <w:color w:val="000000"/>
          <w:sz w:val="32"/>
          <w:szCs w:val="32"/>
        </w:rPr>
        <w:t xml:space="preserve">  </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w:t>
      </w:r>
      <w:r>
        <w:rPr>
          <w:rFonts w:eastAsia="仿宋_GB2312"/>
          <w:color w:val="000000"/>
          <w:sz w:val="32"/>
          <w:szCs w:val="32"/>
        </w:rPr>
        <w:t xml:space="preserve"> </w:t>
      </w:r>
      <w:r>
        <w:rPr>
          <w:rFonts w:hint="eastAsia" w:ascii="仿宋_GB2312" w:hAnsi="Times New Roman" w:eastAsia="仿宋_GB2312" w:cs="Times New Roman"/>
          <w:sz w:val="32"/>
          <w:szCs w:val="32"/>
          <w:lang w:val="en-US" w:eastAsia="zh-CN"/>
        </w:rPr>
        <w:t>柳州市新增工业项目“标准地”控制指标</w:t>
      </w:r>
    </w:p>
    <w:p>
      <w:pPr>
        <w:spacing w:line="540" w:lineRule="exact"/>
        <w:ind w:firstLine="1600" w:firstLineChars="500"/>
        <w:rPr>
          <w:rFonts w:eastAsia="仿宋_GB2312"/>
          <w:color w:val="000000"/>
          <w:sz w:val="32"/>
          <w:szCs w:val="32"/>
        </w:rPr>
      </w:pPr>
      <w:r>
        <w:rPr>
          <w:rFonts w:hint="eastAsia" w:ascii="仿宋_GB2312"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hAnsi="Times New Roman" w:eastAsia="仿宋_GB2312" w:cs="Times New Roman"/>
          <w:sz w:val="32"/>
          <w:szCs w:val="32"/>
          <w:lang w:val="en-US" w:eastAsia="zh-CN"/>
        </w:rPr>
        <w:t>年修订）</w:t>
      </w: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eastAsia" w:eastAsia="仿宋_GB2312"/>
          <w:color w:val="000000"/>
          <w:sz w:val="32"/>
          <w:szCs w:val="32"/>
        </w:rPr>
      </w:pPr>
    </w:p>
    <w:p>
      <w:pPr>
        <w:jc w:val="left"/>
        <w:rPr>
          <w:rFonts w:hint="default" w:eastAsia="仿宋_GB2312"/>
          <w:color w:val="000000"/>
          <w:sz w:val="32"/>
          <w:szCs w:val="32"/>
          <w:lang w:val="en-US" w:eastAsia="zh-CN"/>
        </w:rPr>
      </w:pPr>
      <w:r>
        <w:rPr>
          <w:rFonts w:hint="eastAsia" w:eastAsia="仿宋_GB2312"/>
          <w:color w:val="000000"/>
          <w:sz w:val="32"/>
          <w:szCs w:val="32"/>
        </w:rPr>
        <w:t>附件</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1</w:t>
      </w:r>
    </w:p>
    <w:p>
      <w:pPr>
        <w:widowControl/>
        <w:snapToGrid w:val="0"/>
        <w:spacing w:line="560" w:lineRule="exact"/>
        <w:jc w:val="center"/>
        <w:outlineLvl w:val="1"/>
        <w:rPr>
          <w:rFonts w:eastAsia="方正小标宋简体"/>
          <w:bCs/>
          <w:color w:val="000000"/>
          <w:spacing w:val="20"/>
          <w:kern w:val="0"/>
          <w:sz w:val="36"/>
          <w:szCs w:val="36"/>
        </w:rPr>
      </w:pPr>
      <w:bookmarkStart w:id="1" w:name="_Toc6060"/>
      <w:r>
        <w:rPr>
          <w:rFonts w:hint="eastAsia" w:eastAsia="方正小标宋简体"/>
          <w:bCs/>
          <w:color w:val="000000"/>
          <w:spacing w:val="20"/>
          <w:kern w:val="0"/>
          <w:sz w:val="36"/>
          <w:szCs w:val="36"/>
        </w:rPr>
        <w:t>控制指标说明</w:t>
      </w:r>
      <w:bookmarkEnd w:id="1"/>
    </w:p>
    <w:p>
      <w:pPr>
        <w:widowControl/>
        <w:snapToGrid w:val="0"/>
        <w:spacing w:line="560" w:lineRule="exact"/>
        <w:jc w:val="center"/>
        <w:outlineLvl w:val="1"/>
        <w:rPr>
          <w:rFonts w:eastAsia="方正小标宋简体"/>
          <w:bCs/>
          <w:color w:val="000000"/>
          <w:spacing w:val="20"/>
          <w:kern w:val="0"/>
          <w:sz w:val="36"/>
          <w:szCs w:val="36"/>
        </w:rPr>
      </w:pP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eastAsia" w:eastAsia="仿宋_GB2312"/>
          <w:color w:val="000000"/>
          <w:sz w:val="32"/>
          <w:szCs w:val="32"/>
          <w:shd w:val="clear" w:color="auto" w:fill="FFFFFF"/>
        </w:rPr>
        <w:t>．</w:t>
      </w:r>
      <w:r>
        <w:rPr>
          <w:rFonts w:hint="eastAsia" w:eastAsia="仿宋_GB2312"/>
          <w:b/>
          <w:color w:val="000000"/>
          <w:sz w:val="32"/>
          <w:szCs w:val="32"/>
          <w:shd w:val="clear" w:color="auto" w:fill="FFFFFF"/>
        </w:rPr>
        <w:t>投资强度</w:t>
      </w:r>
      <w:r>
        <w:rPr>
          <w:rFonts w:hint="eastAsia" w:eastAsia="仿宋_GB2312"/>
          <w:color w:val="000000"/>
          <w:sz w:val="32"/>
          <w:szCs w:val="32"/>
          <w:shd w:val="clear" w:color="auto" w:fill="FFFFFF"/>
        </w:rPr>
        <w:t>：项目用地范围内单位土地面积的固定资产</w:t>
      </w:r>
      <w:r>
        <w:rPr>
          <w:rFonts w:hint="eastAsia" w:eastAsia="仿宋_GB2312"/>
          <w:color w:val="000000"/>
          <w:sz w:val="32"/>
          <w:szCs w:val="32"/>
        </w:rPr>
        <w:t>投资额。反映单位土地项目固定资产投资情况，是衡量工业用地投入水平的重要尺度。</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spacing w:line="560" w:lineRule="exact"/>
        <w:ind w:firstLine="640" w:firstLineChars="200"/>
        <w:rPr>
          <w:rFonts w:eastAsia="仿宋_GB2312"/>
          <w:color w:val="000000"/>
          <w:sz w:val="32"/>
          <w:szCs w:val="32"/>
        </w:rPr>
      </w:pPr>
      <w:r>
        <w:rPr>
          <w:rFonts w:hint="eastAsia" w:eastAsia="仿宋_GB2312"/>
          <w:color w:val="000000"/>
          <w:sz w:val="32"/>
          <w:szCs w:val="32"/>
        </w:rPr>
        <w:t>投资强度</w:t>
      </w:r>
      <w:r>
        <w:rPr>
          <w:rFonts w:eastAsia="仿宋_GB2312"/>
          <w:color w:val="000000"/>
          <w:sz w:val="32"/>
          <w:szCs w:val="32"/>
        </w:rPr>
        <w:t>=</w:t>
      </w:r>
      <w:r>
        <w:rPr>
          <w:rFonts w:hint="eastAsia" w:eastAsia="仿宋_GB2312"/>
          <w:color w:val="000000"/>
          <w:sz w:val="32"/>
          <w:szCs w:val="32"/>
        </w:rPr>
        <w:t>项目固定资产总投资</w:t>
      </w:r>
      <w:r>
        <w:rPr>
          <w:rFonts w:eastAsia="仿宋_GB2312"/>
          <w:color w:val="000000"/>
          <w:sz w:val="32"/>
          <w:szCs w:val="32"/>
        </w:rPr>
        <w:t>÷</w:t>
      </w:r>
      <w:r>
        <w:rPr>
          <w:rFonts w:hint="eastAsia" w:eastAsia="仿宋_GB2312"/>
          <w:color w:val="000000"/>
          <w:sz w:val="32"/>
          <w:szCs w:val="32"/>
        </w:rPr>
        <w:t>项目总用地面积。</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其中：项目固定资产总投资包括厂房、设备和地价款。</w:t>
      </w: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2</w:t>
      </w:r>
      <w:r>
        <w:rPr>
          <w:rFonts w:hint="eastAsia" w:eastAsia="仿宋_GB2312"/>
          <w:color w:val="000000"/>
          <w:sz w:val="32"/>
          <w:szCs w:val="32"/>
        </w:rPr>
        <w:t>．</w:t>
      </w:r>
      <w:r>
        <w:rPr>
          <w:rFonts w:hint="eastAsia" w:eastAsia="仿宋_GB2312"/>
          <w:b/>
          <w:color w:val="000000"/>
          <w:sz w:val="32"/>
          <w:szCs w:val="32"/>
        </w:rPr>
        <w:t>容积率</w:t>
      </w:r>
      <w:r>
        <w:rPr>
          <w:rFonts w:hint="eastAsia" w:eastAsia="仿宋_GB2312"/>
          <w:color w:val="000000"/>
          <w:sz w:val="32"/>
          <w:szCs w:val="32"/>
        </w:rPr>
        <w:t>：项目用地范围内总建筑面积与项目总用地面积的比值。反映项目对土地的空间利用情况，是衡量土地利用强度的重要尺度之一。</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spacing w:line="560" w:lineRule="exact"/>
        <w:ind w:firstLine="640" w:firstLineChars="200"/>
        <w:rPr>
          <w:rFonts w:eastAsia="仿宋_GB2312"/>
          <w:color w:val="000000"/>
          <w:sz w:val="32"/>
          <w:szCs w:val="32"/>
        </w:rPr>
      </w:pPr>
      <w:r>
        <w:rPr>
          <w:rFonts w:hint="eastAsia" w:eastAsia="仿宋_GB2312"/>
          <w:color w:val="000000"/>
          <w:sz w:val="32"/>
          <w:szCs w:val="32"/>
        </w:rPr>
        <w:t>容积率</w:t>
      </w:r>
      <w:r>
        <w:rPr>
          <w:rFonts w:eastAsia="仿宋_GB2312"/>
          <w:color w:val="000000"/>
          <w:sz w:val="32"/>
          <w:szCs w:val="32"/>
        </w:rPr>
        <w:t>=</w:t>
      </w:r>
      <w:r>
        <w:rPr>
          <w:rFonts w:hint="eastAsia" w:eastAsia="仿宋_GB2312"/>
          <w:color w:val="000000"/>
          <w:sz w:val="32"/>
          <w:szCs w:val="32"/>
        </w:rPr>
        <w:t>总建筑面积</w:t>
      </w:r>
      <w:r>
        <w:rPr>
          <w:rFonts w:eastAsia="仿宋_GB2312"/>
          <w:color w:val="000000"/>
          <w:sz w:val="32"/>
          <w:szCs w:val="32"/>
        </w:rPr>
        <w:t>÷</w:t>
      </w:r>
      <w:r>
        <w:rPr>
          <w:rFonts w:hint="eastAsia" w:eastAsia="仿宋_GB2312"/>
          <w:color w:val="000000"/>
          <w:sz w:val="32"/>
          <w:szCs w:val="32"/>
        </w:rPr>
        <w:t>项目总用地面积。</w:t>
      </w:r>
    </w:p>
    <w:p>
      <w:pPr>
        <w:spacing w:line="560" w:lineRule="exact"/>
        <w:ind w:firstLine="640" w:firstLineChars="200"/>
        <w:rPr>
          <w:rFonts w:eastAsia="仿宋_GB2312"/>
          <w:color w:val="000000"/>
          <w:sz w:val="32"/>
          <w:szCs w:val="32"/>
        </w:rPr>
      </w:pPr>
      <w:r>
        <w:rPr>
          <w:rFonts w:hint="eastAsia" w:eastAsia="仿宋_GB2312"/>
          <w:color w:val="000000"/>
          <w:sz w:val="32"/>
          <w:szCs w:val="32"/>
        </w:rPr>
        <w:t>当建筑物层高超过</w:t>
      </w:r>
      <w:r>
        <w:rPr>
          <w:rFonts w:hint="default" w:ascii="Times New Roman" w:hAnsi="Times New Roman" w:eastAsia="仿宋_GB2312" w:cs="Times New Roman"/>
          <w:color w:val="000000"/>
          <w:sz w:val="32"/>
          <w:szCs w:val="32"/>
        </w:rPr>
        <w:t>8</w:t>
      </w:r>
      <w:r>
        <w:rPr>
          <w:rFonts w:hint="eastAsia" w:eastAsia="仿宋_GB2312"/>
          <w:color w:val="000000"/>
          <w:sz w:val="32"/>
          <w:szCs w:val="32"/>
        </w:rPr>
        <w:t>米，在计算容积率时该层建筑面积加倍计算。</w:t>
      </w: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3</w:t>
      </w:r>
      <w:r>
        <w:rPr>
          <w:rFonts w:eastAsia="仿宋_GB2312"/>
          <w:color w:val="000000"/>
          <w:sz w:val="32"/>
          <w:szCs w:val="32"/>
        </w:rPr>
        <w:t xml:space="preserve">. </w:t>
      </w:r>
      <w:r>
        <w:rPr>
          <w:rFonts w:hint="eastAsia" w:eastAsia="仿宋_GB2312"/>
          <w:b/>
          <w:color w:val="000000"/>
          <w:sz w:val="32"/>
          <w:szCs w:val="32"/>
        </w:rPr>
        <w:t>建筑系数</w:t>
      </w:r>
      <w:r>
        <w:rPr>
          <w:rFonts w:hint="eastAsia" w:eastAsia="仿宋_GB2312"/>
          <w:color w:val="000000"/>
          <w:sz w:val="32"/>
          <w:szCs w:val="32"/>
        </w:rPr>
        <w:t>：指项目用地范围内各种建筑物、用于生产和直接为生产服务的构筑物占地面积总和与项目总用地面积的比例。反映项目对土地在平面上的利用情况，是衡量土地利用强度及合理性的尺度之一。</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spacing w:line="560" w:lineRule="exact"/>
        <w:ind w:firstLine="640" w:firstLineChars="200"/>
        <w:rPr>
          <w:rFonts w:eastAsia="仿宋_GB2312"/>
          <w:color w:val="000000"/>
          <w:sz w:val="32"/>
          <w:szCs w:val="32"/>
        </w:rPr>
      </w:pPr>
      <w:r>
        <w:rPr>
          <w:rFonts w:hint="eastAsia" w:eastAsia="仿宋_GB2312"/>
          <w:color w:val="000000"/>
          <w:sz w:val="32"/>
          <w:szCs w:val="32"/>
        </w:rPr>
        <w:t>建筑系数</w:t>
      </w:r>
      <w:r>
        <w:rPr>
          <w:rFonts w:eastAsia="仿宋_GB2312"/>
          <w:color w:val="000000"/>
          <w:sz w:val="32"/>
          <w:szCs w:val="32"/>
        </w:rPr>
        <w:t>=</w:t>
      </w:r>
      <w:r>
        <w:rPr>
          <w:rFonts w:hint="eastAsia" w:eastAsia="仿宋_GB2312"/>
          <w:color w:val="000000"/>
          <w:sz w:val="32"/>
          <w:szCs w:val="32"/>
        </w:rPr>
        <w:t>（建筑物占地面积＋构筑物占地面积＋堆场用地面积）</w:t>
      </w:r>
      <w:r>
        <w:rPr>
          <w:rFonts w:eastAsia="仿宋_GB2312"/>
          <w:color w:val="000000"/>
          <w:sz w:val="32"/>
          <w:szCs w:val="32"/>
        </w:rPr>
        <w:t>÷</w:t>
      </w:r>
      <w:r>
        <w:rPr>
          <w:rFonts w:hint="eastAsia" w:eastAsia="仿宋_GB2312"/>
          <w:color w:val="000000"/>
          <w:sz w:val="32"/>
          <w:szCs w:val="32"/>
        </w:rPr>
        <w:t>项目总用地面积</w:t>
      </w:r>
      <w:r>
        <w:rPr>
          <w:rFonts w:eastAsia="仿宋_GB2312"/>
          <w:color w:val="000000"/>
          <w:sz w:val="32"/>
          <w:szCs w:val="32"/>
        </w:rPr>
        <w:t>×</w:t>
      </w:r>
      <w:r>
        <w:rPr>
          <w:rFonts w:hint="default" w:ascii="Times New Roman" w:hAnsi="Times New Roman" w:eastAsia="仿宋_GB2312" w:cs="Times New Roman"/>
          <w:color w:val="000000"/>
          <w:sz w:val="32"/>
          <w:szCs w:val="32"/>
        </w:rPr>
        <w:t>100</w:t>
      </w:r>
      <w:r>
        <w:rPr>
          <w:rFonts w:eastAsia="仿宋_GB2312"/>
          <w:color w:val="000000"/>
          <w:sz w:val="32"/>
          <w:szCs w:val="32"/>
        </w:rPr>
        <w:t>%</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4</w:t>
      </w:r>
      <w:r>
        <w:rPr>
          <w:rFonts w:eastAsia="仿宋_GB2312"/>
          <w:color w:val="000000"/>
          <w:sz w:val="32"/>
          <w:szCs w:val="32"/>
        </w:rPr>
        <w:t xml:space="preserve">. </w:t>
      </w:r>
      <w:r>
        <w:rPr>
          <w:rFonts w:hint="eastAsia" w:eastAsia="仿宋_GB2312"/>
          <w:b/>
          <w:color w:val="000000"/>
          <w:sz w:val="32"/>
          <w:szCs w:val="32"/>
        </w:rPr>
        <w:t>行政办公及生活服务设施用地所占比重</w:t>
      </w:r>
      <w:r>
        <w:rPr>
          <w:rFonts w:hint="eastAsia" w:eastAsia="仿宋_GB2312"/>
          <w:color w:val="000000"/>
          <w:sz w:val="32"/>
          <w:szCs w:val="32"/>
        </w:rPr>
        <w:t>：项目用地范围内行政办公、生活服务设施占用土地面积占总用地面积的比例；行政办公、生活服务设施建筑面积占总建筑面积的比例。反映项目中非生产配套设施使用土地的情况，是反映企业内部用地结构合理性的重要尺度之一。</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spacing w:line="560" w:lineRule="exact"/>
        <w:ind w:firstLine="640" w:firstLineChars="200"/>
        <w:rPr>
          <w:rFonts w:eastAsia="仿宋_GB2312"/>
          <w:color w:val="000000"/>
          <w:sz w:val="32"/>
          <w:szCs w:val="32"/>
        </w:rPr>
      </w:pPr>
      <w:r>
        <w:rPr>
          <w:rFonts w:hint="eastAsia" w:eastAsia="仿宋_GB2312"/>
          <w:color w:val="000000"/>
          <w:sz w:val="32"/>
          <w:szCs w:val="32"/>
        </w:rPr>
        <w:t>行政办公及生活服务设施占地面积比重</w:t>
      </w:r>
      <w:r>
        <w:rPr>
          <w:rFonts w:eastAsia="仿宋_GB2312"/>
          <w:color w:val="000000"/>
          <w:sz w:val="32"/>
          <w:szCs w:val="32"/>
        </w:rPr>
        <w:t>=</w:t>
      </w:r>
      <w:r>
        <w:rPr>
          <w:rFonts w:hint="eastAsia" w:eastAsia="仿宋_GB2312"/>
          <w:color w:val="000000"/>
          <w:sz w:val="32"/>
          <w:szCs w:val="32"/>
        </w:rPr>
        <w:t>行政办公、生活服务设施占用土地面积</w:t>
      </w:r>
      <w:r>
        <w:rPr>
          <w:rFonts w:eastAsia="仿宋_GB2312"/>
          <w:color w:val="000000"/>
          <w:sz w:val="32"/>
          <w:szCs w:val="32"/>
        </w:rPr>
        <w:t>÷</w:t>
      </w:r>
      <w:r>
        <w:rPr>
          <w:rFonts w:hint="eastAsia" w:eastAsia="仿宋_GB2312"/>
          <w:color w:val="000000"/>
          <w:sz w:val="32"/>
          <w:szCs w:val="32"/>
        </w:rPr>
        <w:t>项目总用地面积</w:t>
      </w:r>
      <w:r>
        <w:rPr>
          <w:rFonts w:eastAsia="仿宋_GB2312"/>
          <w:color w:val="000000"/>
          <w:sz w:val="32"/>
          <w:szCs w:val="32"/>
        </w:rPr>
        <w:t>×</w:t>
      </w:r>
      <w:r>
        <w:rPr>
          <w:rFonts w:hint="default" w:ascii="Times New Roman" w:hAnsi="Times New Roman" w:eastAsia="仿宋_GB2312" w:cs="Times New Roman"/>
          <w:color w:val="000000"/>
          <w:sz w:val="32"/>
          <w:szCs w:val="32"/>
        </w:rPr>
        <w:t>100</w:t>
      </w:r>
      <w:r>
        <w:rPr>
          <w:rFonts w:eastAsia="仿宋_GB2312"/>
          <w:color w:val="000000"/>
          <w:sz w:val="32"/>
          <w:szCs w:val="32"/>
        </w:rPr>
        <w:t>%</w:t>
      </w:r>
      <w:r>
        <w:rPr>
          <w:rFonts w:hint="eastAsia" w:eastAsia="仿宋_GB2312"/>
          <w:color w:val="000000"/>
          <w:sz w:val="32"/>
          <w:szCs w:val="32"/>
        </w:rPr>
        <w:t>。</w:t>
      </w:r>
    </w:p>
    <w:p>
      <w:pPr>
        <w:pStyle w:val="8"/>
        <w:ind w:firstLine="640" w:firstLineChars="200"/>
        <w:rPr>
          <w:rFonts w:ascii="Times New Roman" w:hAnsi="Times New Roman" w:eastAsia="宋体"/>
          <w:sz w:val="32"/>
          <w:szCs w:val="32"/>
        </w:rPr>
      </w:pPr>
      <w:r>
        <w:rPr>
          <w:rFonts w:hint="eastAsia" w:ascii="Times New Roman" w:hAnsi="Times New Roman"/>
          <w:sz w:val="32"/>
          <w:szCs w:val="32"/>
        </w:rPr>
        <w:t>行政办公及生活服务设施建筑面积比重</w:t>
      </w:r>
      <w:r>
        <w:rPr>
          <w:rFonts w:ascii="Times New Roman" w:hAnsi="Times New Roman"/>
          <w:sz w:val="32"/>
          <w:szCs w:val="32"/>
        </w:rPr>
        <w:t>=</w:t>
      </w:r>
      <w:r>
        <w:rPr>
          <w:rFonts w:hint="eastAsia" w:ascii="Times New Roman" w:hAnsi="Times New Roman"/>
          <w:sz w:val="32"/>
          <w:szCs w:val="32"/>
        </w:rPr>
        <w:t>行政办公、生活服务设施建筑面积</w:t>
      </w:r>
      <w:r>
        <w:rPr>
          <w:rFonts w:ascii="Times New Roman" w:hAnsi="Times New Roman"/>
          <w:sz w:val="32"/>
          <w:szCs w:val="32"/>
        </w:rPr>
        <w:t>÷</w:t>
      </w:r>
      <w:r>
        <w:rPr>
          <w:rFonts w:hint="eastAsia" w:ascii="Times New Roman" w:hAnsi="Times New Roman"/>
          <w:sz w:val="32"/>
          <w:szCs w:val="32"/>
        </w:rPr>
        <w:t>项目总建筑面积</w:t>
      </w:r>
      <w:r>
        <w:rPr>
          <w:rFonts w:ascii="Times New Roman" w:hAnsi="Times New Roman"/>
          <w:kern w:val="2"/>
          <w:sz w:val="32"/>
          <w:szCs w:val="32"/>
        </w:rPr>
        <w:t>×</w:t>
      </w:r>
      <w:r>
        <w:rPr>
          <w:rFonts w:hint="default" w:ascii="Times New Roman" w:hAnsi="Times New Roman" w:cs="Times New Roman"/>
          <w:sz w:val="32"/>
          <w:szCs w:val="32"/>
        </w:rPr>
        <w:t>100</w:t>
      </w:r>
      <w:r>
        <w:rPr>
          <w:rFonts w:ascii="Times New Roman" w:hAnsi="Times New Roman"/>
          <w:sz w:val="32"/>
          <w:szCs w:val="32"/>
        </w:rPr>
        <w:t>%</w:t>
      </w:r>
      <w:r>
        <w:rPr>
          <w:rFonts w:hint="eastAsia" w:ascii="Times New Roman" w:hAnsi="Times New Roman"/>
          <w:sz w:val="32"/>
          <w:szCs w:val="32"/>
        </w:rPr>
        <w:t>。</w:t>
      </w: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5</w:t>
      </w:r>
      <w:r>
        <w:rPr>
          <w:rFonts w:hint="eastAsia" w:eastAsia="仿宋_GB2312"/>
          <w:color w:val="000000"/>
          <w:sz w:val="32"/>
          <w:szCs w:val="32"/>
        </w:rPr>
        <w:t>．</w:t>
      </w:r>
      <w:r>
        <w:rPr>
          <w:rFonts w:hint="eastAsia" w:eastAsia="仿宋_GB2312"/>
          <w:b/>
          <w:color w:val="000000"/>
          <w:sz w:val="32"/>
          <w:szCs w:val="32"/>
        </w:rPr>
        <w:t>产出强度</w:t>
      </w:r>
      <w:r>
        <w:rPr>
          <w:rFonts w:hint="eastAsia" w:eastAsia="仿宋_GB2312"/>
          <w:color w:val="000000"/>
          <w:sz w:val="32"/>
          <w:szCs w:val="32"/>
        </w:rPr>
        <w:t>：项目用地范围内单位面积工业总产值。反映单位土地上项目的产出情况，是衡量土地产出水平的重要指标。</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spacing w:line="560" w:lineRule="exact"/>
        <w:ind w:firstLine="640" w:firstLineChars="200"/>
        <w:rPr>
          <w:rFonts w:eastAsia="仿宋_GB2312"/>
          <w:color w:val="000000"/>
          <w:sz w:val="32"/>
          <w:szCs w:val="32"/>
        </w:rPr>
      </w:pPr>
      <w:r>
        <w:rPr>
          <w:rFonts w:hint="eastAsia" w:eastAsia="仿宋_GB2312"/>
          <w:color w:val="000000"/>
          <w:sz w:val="32"/>
          <w:szCs w:val="32"/>
        </w:rPr>
        <w:t>产出强度</w:t>
      </w:r>
      <w:r>
        <w:rPr>
          <w:rFonts w:eastAsia="仿宋_GB2312"/>
          <w:color w:val="000000"/>
          <w:sz w:val="32"/>
          <w:szCs w:val="32"/>
        </w:rPr>
        <w:t>=</w:t>
      </w:r>
      <w:r>
        <w:rPr>
          <w:rFonts w:hint="eastAsia" w:eastAsia="仿宋_GB2312"/>
          <w:color w:val="000000"/>
          <w:sz w:val="32"/>
          <w:szCs w:val="32"/>
        </w:rPr>
        <w:t>项目工业总产值</w:t>
      </w:r>
      <w:r>
        <w:rPr>
          <w:rFonts w:eastAsia="仿宋_GB2312"/>
          <w:color w:val="000000"/>
          <w:sz w:val="32"/>
          <w:szCs w:val="32"/>
        </w:rPr>
        <w:t>÷</w:t>
      </w:r>
      <w:r>
        <w:rPr>
          <w:rFonts w:hint="eastAsia" w:eastAsia="仿宋_GB2312"/>
          <w:color w:val="000000"/>
          <w:sz w:val="32"/>
          <w:szCs w:val="32"/>
        </w:rPr>
        <w:t>项目总用地面积。</w:t>
      </w:r>
    </w:p>
    <w:p>
      <w:pPr>
        <w:spacing w:line="560" w:lineRule="exact"/>
        <w:ind w:firstLine="640" w:firstLineChars="200"/>
        <w:rPr>
          <w:rFonts w:eastAsia="仿宋_GB2312"/>
          <w:color w:val="000000"/>
          <w:sz w:val="32"/>
          <w:szCs w:val="32"/>
        </w:rPr>
      </w:pPr>
      <w:r>
        <w:rPr>
          <w:rFonts w:hint="default" w:ascii="Times New Roman" w:hAnsi="Times New Roman" w:eastAsia="仿宋_GB2312" w:cs="Times New Roman"/>
          <w:color w:val="000000"/>
          <w:sz w:val="32"/>
          <w:szCs w:val="32"/>
        </w:rPr>
        <w:t>6</w:t>
      </w:r>
      <w:r>
        <w:rPr>
          <w:rFonts w:hint="eastAsia" w:eastAsia="仿宋_GB2312"/>
          <w:color w:val="000000"/>
          <w:sz w:val="32"/>
          <w:szCs w:val="32"/>
        </w:rPr>
        <w:t>．</w:t>
      </w:r>
      <w:r>
        <w:rPr>
          <w:rFonts w:hint="eastAsia" w:eastAsia="仿宋_GB2312"/>
          <w:b/>
          <w:color w:val="000000"/>
          <w:sz w:val="32"/>
          <w:szCs w:val="32"/>
        </w:rPr>
        <w:t>地均税收</w:t>
      </w:r>
      <w:r>
        <w:rPr>
          <w:rFonts w:hint="eastAsia" w:eastAsia="仿宋_GB2312"/>
          <w:color w:val="000000"/>
          <w:sz w:val="32"/>
          <w:szCs w:val="32"/>
        </w:rPr>
        <w:t>：项目用地范围内单位面积的项目税收情况，是衡量土地产出水平的另一个重要指标。</w:t>
      </w:r>
    </w:p>
    <w:p>
      <w:pPr>
        <w:spacing w:line="560" w:lineRule="exact"/>
        <w:ind w:firstLine="643" w:firstLineChars="200"/>
        <w:rPr>
          <w:rFonts w:eastAsia="仿宋_GB2312"/>
          <w:b/>
          <w:color w:val="000000"/>
          <w:sz w:val="32"/>
          <w:szCs w:val="32"/>
        </w:rPr>
      </w:pPr>
      <w:r>
        <w:rPr>
          <w:rFonts w:hint="eastAsia" w:eastAsia="仿宋_GB2312"/>
          <w:b/>
          <w:color w:val="000000"/>
          <w:sz w:val="32"/>
          <w:szCs w:val="32"/>
        </w:rPr>
        <w:t>计算公式：</w:t>
      </w:r>
    </w:p>
    <w:p>
      <w:pPr>
        <w:keepNext w:val="0"/>
        <w:keepLines w:val="0"/>
        <w:widowControl/>
        <w:suppressLineNumbers w:val="0"/>
        <w:spacing w:line="360" w:lineRule="auto"/>
        <w:ind w:firstLine="640" w:firstLineChars="200"/>
        <w:jc w:val="left"/>
        <w:textAlignment w:val="auto"/>
        <w:rPr>
          <w:rFonts w:hint="eastAsia" w:eastAsia="仿宋_GB2312"/>
          <w:color w:val="000000"/>
          <w:sz w:val="32"/>
          <w:szCs w:val="32"/>
        </w:rPr>
      </w:pPr>
      <w:r>
        <w:rPr>
          <w:rFonts w:hint="eastAsia" w:eastAsia="仿宋_GB2312"/>
          <w:color w:val="000000"/>
          <w:sz w:val="32"/>
          <w:szCs w:val="32"/>
        </w:rPr>
        <w:t>地均税收</w:t>
      </w:r>
      <w:r>
        <w:rPr>
          <w:rFonts w:eastAsia="仿宋_GB2312"/>
          <w:color w:val="000000"/>
          <w:sz w:val="32"/>
          <w:szCs w:val="32"/>
        </w:rPr>
        <w:t>=</w:t>
      </w:r>
      <w:r>
        <w:rPr>
          <w:rFonts w:hint="eastAsia" w:eastAsia="仿宋_GB2312"/>
          <w:color w:val="000000"/>
          <w:sz w:val="32"/>
          <w:szCs w:val="32"/>
        </w:rPr>
        <w:t>项目税金上缴总额</w:t>
      </w:r>
      <w:r>
        <w:rPr>
          <w:rFonts w:eastAsia="仿宋_GB2312"/>
          <w:color w:val="000000"/>
          <w:sz w:val="32"/>
          <w:szCs w:val="32"/>
        </w:rPr>
        <w:t>÷</w:t>
      </w:r>
      <w:r>
        <w:rPr>
          <w:rFonts w:hint="eastAsia" w:eastAsia="仿宋_GB2312"/>
          <w:color w:val="000000"/>
          <w:sz w:val="32"/>
          <w:szCs w:val="32"/>
        </w:rPr>
        <w:t>项目总用地面积。</w:t>
      </w:r>
    </w:p>
    <w:p>
      <w:pPr>
        <w:keepNext w:val="0"/>
        <w:keepLines w:val="0"/>
        <w:widowControl/>
        <w:suppressLineNumbers w:val="0"/>
        <w:spacing w:line="360" w:lineRule="auto"/>
        <w:ind w:firstLine="640" w:firstLineChars="200"/>
        <w:jc w:val="left"/>
        <w:textAlignment w:val="auto"/>
        <w:rPr>
          <w:rFonts w:hint="eastAsia" w:eastAsia="仿宋_GB2312"/>
          <w:color w:val="000000"/>
          <w:sz w:val="32"/>
          <w:szCs w:val="32"/>
        </w:rPr>
      </w:pPr>
    </w:p>
    <w:p>
      <w:pPr>
        <w:keepNext w:val="0"/>
        <w:keepLines w:val="0"/>
        <w:widowControl/>
        <w:suppressLineNumbers w:val="0"/>
        <w:spacing w:line="360" w:lineRule="auto"/>
        <w:ind w:firstLine="640" w:firstLineChars="200"/>
        <w:jc w:val="left"/>
        <w:textAlignment w:val="auto"/>
        <w:rPr>
          <w:rFonts w:hint="eastAsia" w:eastAsia="仿宋_GB2312"/>
          <w:color w:val="000000"/>
          <w:sz w:val="32"/>
          <w:szCs w:val="32"/>
        </w:rPr>
      </w:pPr>
    </w:p>
    <w:p>
      <w:pPr>
        <w:keepNext w:val="0"/>
        <w:keepLines w:val="0"/>
        <w:widowControl/>
        <w:suppressLineNumbers w:val="0"/>
        <w:spacing w:line="360" w:lineRule="auto"/>
        <w:jc w:val="left"/>
        <w:textAlignment w:val="auto"/>
        <w:rPr>
          <w:rFonts w:hint="eastAsia" w:eastAsia="仿宋_GB2312"/>
          <w:color w:val="000000"/>
          <w:sz w:val="32"/>
          <w:szCs w:val="32"/>
          <w:lang w:val="en-US" w:eastAsia="zh-CN"/>
        </w:rPr>
      </w:pPr>
    </w:p>
    <w:tbl>
      <w:tblPr>
        <w:tblStyle w:val="3"/>
        <w:tblW w:w="4997" w:type="pct"/>
        <w:jc w:val="center"/>
        <w:shd w:val="clear" w:color="auto" w:fill="auto"/>
        <w:tblLayout w:type="fixed"/>
        <w:tblCellMar>
          <w:top w:w="0" w:type="dxa"/>
          <w:left w:w="0" w:type="dxa"/>
          <w:bottom w:w="0" w:type="dxa"/>
          <w:right w:w="0" w:type="dxa"/>
        </w:tblCellMar>
      </w:tblPr>
      <w:tblGrid>
        <w:gridCol w:w="457"/>
        <w:gridCol w:w="1695"/>
        <w:gridCol w:w="1305"/>
        <w:gridCol w:w="1155"/>
        <w:gridCol w:w="986"/>
        <w:gridCol w:w="1161"/>
        <w:gridCol w:w="1080"/>
        <w:gridCol w:w="1031"/>
      </w:tblGrid>
      <w:tr>
        <w:tblPrEx>
          <w:shd w:val="clear" w:color="auto" w:fill="auto"/>
          <w:tblCellMar>
            <w:top w:w="0" w:type="dxa"/>
            <w:left w:w="0" w:type="dxa"/>
            <w:bottom w:w="0" w:type="dxa"/>
            <w:right w:w="0" w:type="dxa"/>
          </w:tblCellMar>
        </w:tblPrEx>
        <w:trPr>
          <w:trHeight w:val="460"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napToGrid w:val="0"/>
              <w:spacing w:before="0" w:beforeAutospacing="0" w:after="0" w:afterAutospacing="0" w:line="560" w:lineRule="exact"/>
              <w:ind w:left="0" w:right="0"/>
              <w:jc w:val="left"/>
              <w:outlineLvl w:val="1"/>
              <w:rPr>
                <w:rFonts w:hint="default" w:ascii="Times New Roman"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2</w:t>
            </w:r>
          </w:p>
          <w:p>
            <w:pPr>
              <w:keepNext w:val="0"/>
              <w:keepLines w:val="0"/>
              <w:widowControl/>
              <w:suppressLineNumbers w:val="0"/>
              <w:snapToGrid w:val="0"/>
              <w:spacing w:before="0" w:beforeAutospacing="0" w:after="0" w:afterAutospacing="0" w:line="560" w:lineRule="exact"/>
              <w:ind w:left="0" w:right="0"/>
              <w:jc w:val="center"/>
              <w:outlineLvl w:val="1"/>
              <w:rPr>
                <w:rFonts w:hint="eastAsia" w:eastAsia="方正小标宋简体"/>
                <w:bCs/>
                <w:color w:val="000000"/>
                <w:spacing w:val="20"/>
                <w:kern w:val="0"/>
                <w:sz w:val="36"/>
                <w:szCs w:val="36"/>
                <w:lang w:val="en-US" w:eastAsia="zh-CN"/>
              </w:rPr>
            </w:pPr>
            <w:r>
              <w:rPr>
                <w:rFonts w:hint="eastAsia" w:ascii="仿宋_GB2312" w:hAnsi="Times New Roman" w:eastAsia="仿宋_GB2312" w:cs="Times New Roman"/>
                <w:sz w:val="32"/>
                <w:szCs w:val="32"/>
                <w:lang w:val="en-US" w:eastAsia="zh-CN"/>
              </w:rPr>
              <w:t xml:space="preserve"> </w:t>
            </w:r>
            <w:r>
              <w:rPr>
                <w:rFonts w:hint="eastAsia" w:eastAsia="方正小标宋简体"/>
                <w:bCs/>
                <w:color w:val="000000"/>
                <w:spacing w:val="20"/>
                <w:kern w:val="0"/>
                <w:sz w:val="36"/>
                <w:szCs w:val="36"/>
                <w:lang w:val="en-US" w:eastAsia="zh-CN"/>
              </w:rPr>
              <w:t>柳州市新增工业项目“标准地”控制指标</w:t>
            </w:r>
          </w:p>
          <w:p>
            <w:pPr>
              <w:keepNext w:val="0"/>
              <w:keepLines w:val="0"/>
              <w:widowControl/>
              <w:suppressLineNumbers w:val="0"/>
              <w:snapToGrid w:val="0"/>
              <w:spacing w:before="0" w:beforeAutospacing="0" w:after="0" w:afterAutospacing="0" w:line="560" w:lineRule="exact"/>
              <w:ind w:left="0" w:right="0"/>
              <w:jc w:val="center"/>
              <w:outlineLvl w:val="1"/>
              <w:rPr>
                <w:rFonts w:hint="eastAsia" w:eastAsia="方正小标宋简体"/>
                <w:bCs/>
                <w:color w:val="000000"/>
                <w:spacing w:val="20"/>
                <w:kern w:val="0"/>
                <w:sz w:val="36"/>
                <w:szCs w:val="36"/>
                <w:lang w:val="en-US" w:eastAsia="zh-CN"/>
              </w:rPr>
            </w:pPr>
            <w:r>
              <w:rPr>
                <w:rFonts w:hint="eastAsia" w:eastAsia="方正小标宋简体"/>
                <w:bCs/>
                <w:color w:val="000000"/>
                <w:spacing w:val="20"/>
                <w:kern w:val="0"/>
                <w:sz w:val="36"/>
                <w:szCs w:val="36"/>
                <w:lang w:val="en-US" w:eastAsia="zh-CN"/>
              </w:rPr>
              <w:t xml:space="preserve">   （</w:t>
            </w:r>
            <w:r>
              <w:rPr>
                <w:rFonts w:hint="default" w:ascii="Times New Roman" w:hAnsi="Times New Roman" w:eastAsia="方正小标宋简体" w:cs="Times New Roman"/>
                <w:bCs/>
                <w:color w:val="000000"/>
                <w:spacing w:val="20"/>
                <w:kern w:val="0"/>
                <w:sz w:val="36"/>
                <w:szCs w:val="36"/>
                <w:lang w:val="en-US" w:eastAsia="zh-CN"/>
              </w:rPr>
              <w:t>2025</w:t>
            </w:r>
            <w:r>
              <w:rPr>
                <w:rFonts w:hint="eastAsia" w:eastAsia="方正小标宋简体"/>
                <w:bCs/>
                <w:color w:val="000000"/>
                <w:spacing w:val="20"/>
                <w:kern w:val="0"/>
                <w:sz w:val="36"/>
                <w:szCs w:val="36"/>
                <w:lang w:val="en-US" w:eastAsia="zh-CN"/>
              </w:rPr>
              <w:t>年修订）</w:t>
            </w:r>
          </w:p>
        </w:tc>
      </w:tr>
      <w:tr>
        <w:tblPrEx>
          <w:tblCellMar>
            <w:top w:w="0" w:type="dxa"/>
            <w:left w:w="0" w:type="dxa"/>
            <w:bottom w:w="0" w:type="dxa"/>
            <w:right w:w="0" w:type="dxa"/>
          </w:tblCellMar>
        </w:tblPrEx>
        <w:trPr>
          <w:trHeight w:val="667"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行业代码</w:t>
            </w:r>
          </w:p>
        </w:tc>
        <w:tc>
          <w:tcPr>
            <w:tcW w:w="9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行业名称</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固定资产投资强度（万元/亩）</w:t>
            </w:r>
          </w:p>
        </w:tc>
        <w:tc>
          <w:tcPr>
            <w:tcW w:w="65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地均税收</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（万元/亩）</w:t>
            </w:r>
          </w:p>
        </w:tc>
        <w:tc>
          <w:tcPr>
            <w:tcW w:w="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产出强度</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（万元/亩）</w:t>
            </w:r>
          </w:p>
        </w:tc>
        <w:tc>
          <w:tcPr>
            <w:tcW w:w="65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highlight w:val="none"/>
                <w:u w:val="none"/>
                <w:lang w:val="en-US" w:eastAsia="zh-CN" w:bidi="ar"/>
              </w:rPr>
              <w:t>容积率（≥）</w:t>
            </w:r>
          </w:p>
        </w:tc>
        <w:tc>
          <w:tcPr>
            <w:tcW w:w="60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kern w:val="0"/>
                <w:sz w:val="20"/>
                <w:szCs w:val="20"/>
                <w:highlight w:val="none"/>
                <w:u w:val="none"/>
                <w:lang w:val="en-US" w:eastAsia="zh-CN" w:bidi="ar"/>
              </w:rPr>
            </w:pPr>
            <w:r>
              <w:rPr>
                <w:rFonts w:hint="eastAsia" w:ascii="黑体" w:hAnsi="宋体" w:eastAsia="黑体" w:cs="黑体"/>
                <w:b/>
                <w:i w:val="0"/>
                <w:color w:val="000000"/>
                <w:kern w:val="0"/>
                <w:sz w:val="20"/>
                <w:szCs w:val="20"/>
                <w:highlight w:val="none"/>
                <w:u w:val="none"/>
                <w:lang w:val="en-US" w:eastAsia="zh-CN" w:bidi="ar"/>
              </w:rPr>
              <w:t>建筑系数（≥）</w:t>
            </w:r>
          </w:p>
        </w:tc>
        <w:tc>
          <w:tcPr>
            <w:tcW w:w="5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13</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农副食品加工业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197</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14</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食品制造业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207</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15</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酒、饮料和精制茶制造业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181</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16</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烟草制品业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205</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17</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纺织业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181</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18</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纺织服装、服饰业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258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303</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19</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皮革、毛皮、羽毛及其制品 和制鞋业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135</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w:t>
            </w:r>
            <w:r>
              <w:rPr>
                <w:rFonts w:hint="eastAsia" w:ascii="Times New Roman" w:hAnsi="Times New Roman" w:eastAsia="黑体" w:cs="Times New Roman"/>
                <w:i w:val="0"/>
                <w:color w:val="000000"/>
                <w:kern w:val="0"/>
                <w:sz w:val="24"/>
                <w:szCs w:val="24"/>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20</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木材加工和木、竹、藤、棕、草制品业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154</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21</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家具制造业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178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22</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造纸和纸制品业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188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288</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23</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印刷和记录媒介复制业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237</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24</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文教、工美、体育和娱乐用</w:t>
            </w:r>
            <w:r>
              <w:rPr>
                <w:rStyle w:val="5"/>
                <w:lang w:val="en-US" w:eastAsia="zh-CN" w:bidi="ar"/>
              </w:rPr>
              <w:t xml:space="preserve"> </w:t>
            </w:r>
            <w:r>
              <w:rPr>
                <w:rStyle w:val="6"/>
                <w:lang w:val="en-US" w:eastAsia="zh-CN" w:bidi="ar"/>
              </w:rPr>
              <w:t>品制造业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173</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25</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石油、煤炭及其他燃料加工</w:t>
            </w:r>
            <w:r>
              <w:rPr>
                <w:rStyle w:val="5"/>
                <w:lang w:val="en-US" w:eastAsia="zh-CN" w:bidi="ar"/>
              </w:rPr>
              <w:t xml:space="preserve"> </w:t>
            </w:r>
            <w:r>
              <w:rPr>
                <w:rStyle w:val="6"/>
                <w:lang w:val="en-US" w:eastAsia="zh-CN" w:bidi="ar"/>
              </w:rPr>
              <w:t>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240</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26</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化学原料和化学制品制造业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268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27</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医药制造业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250</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28</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化学纤维制造业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320</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29</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橡胶和塑料制品业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201</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30</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非金属矿物制品业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131</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317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31</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黑色金属冶炼和压延加工业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273</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0.7</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32</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有色金属冶炼和压延加工业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268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294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35%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33</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金属制品业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207</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294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34</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通用设备制造业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296</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303</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35</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专用设备制造业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270</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36</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汽车制造业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287</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37</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铁路、船舶、航空航天和其</w:t>
            </w:r>
            <w:r>
              <w:rPr>
                <w:rStyle w:val="5"/>
                <w:lang w:val="en-US" w:eastAsia="zh-CN" w:bidi="ar"/>
              </w:rPr>
              <w:t xml:space="preserve"> </w:t>
            </w:r>
            <w:r>
              <w:rPr>
                <w:rStyle w:val="6"/>
                <w:lang w:val="en-US" w:eastAsia="zh-CN" w:bidi="ar"/>
              </w:rPr>
              <w:t>他运输设备制造业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324</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38</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电气机械和器材制造业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279</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39</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计算机、通信和其他电子设</w:t>
            </w:r>
            <w:r>
              <w:rPr>
                <w:rStyle w:val="5"/>
                <w:lang w:val="en-US" w:eastAsia="zh-CN" w:bidi="ar"/>
              </w:rPr>
              <w:t xml:space="preserve"> </w:t>
            </w:r>
            <w:r>
              <w:rPr>
                <w:rStyle w:val="6"/>
                <w:lang w:val="en-US" w:eastAsia="zh-CN" w:bidi="ar"/>
              </w:rPr>
              <w:t>备制造业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306</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481</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1.3</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40</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仪器仪表制造业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265</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337</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1.3</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41</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其他制造业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135</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1.1</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42</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废弃资源综合利用业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176</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黑体" w:hAnsi="宋体" w:eastAsia="黑体" w:cs="黑体"/>
                <w:i w:val="0"/>
                <w:color w:val="000000"/>
                <w:sz w:val="20"/>
                <w:szCs w:val="20"/>
                <w:u w:val="none"/>
              </w:rPr>
            </w:pPr>
          </w:p>
        </w:tc>
      </w:tr>
      <w:tr>
        <w:tblPrEx>
          <w:tblCellMar>
            <w:top w:w="0" w:type="dxa"/>
            <w:left w:w="0" w:type="dxa"/>
            <w:bottom w:w="0" w:type="dxa"/>
            <w:right w:w="0" w:type="dxa"/>
          </w:tblCellMar>
        </w:tblPrEx>
        <w:trPr>
          <w:trHeight w:val="45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i w:val="0"/>
                <w:color w:val="000000"/>
                <w:sz w:val="22"/>
                <w:szCs w:val="22"/>
                <w:u w:val="none"/>
              </w:rPr>
            </w:pPr>
            <w:r>
              <w:rPr>
                <w:rFonts w:hint="default" w:ascii="Times New Roman" w:hAnsi="Times New Roman" w:eastAsia="黑体" w:cs="Times New Roman"/>
                <w:b/>
                <w:i w:val="0"/>
                <w:color w:val="000000"/>
                <w:kern w:val="0"/>
                <w:sz w:val="22"/>
                <w:szCs w:val="22"/>
                <w:u w:val="none"/>
                <w:lang w:val="en-US" w:eastAsia="zh-CN" w:bidi="ar"/>
              </w:rPr>
              <w:t>43</w:t>
            </w: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金属制品、机械和设备修理业</w:t>
            </w:r>
          </w:p>
        </w:tc>
        <w:tc>
          <w:tcPr>
            <w:tcW w:w="7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158</w:t>
            </w:r>
          </w:p>
        </w:tc>
        <w:tc>
          <w:tcPr>
            <w:tcW w:w="6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280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kern w:val="2"/>
                <w:sz w:val="24"/>
                <w:szCs w:val="24"/>
                <w:lang w:val="en-US" w:eastAsia="zh-CN" w:bidi="ar-SA"/>
              </w:rPr>
            </w:pPr>
            <w:r>
              <w:rPr>
                <w:rFonts w:hint="default" w:ascii="Times New Roman" w:hAnsi="Times New Roman" w:eastAsia="宋体" w:cs="Times New Roman"/>
                <w:i w:val="0"/>
                <w:color w:val="000000"/>
                <w:kern w:val="0"/>
                <w:sz w:val="24"/>
                <w:szCs w:val="24"/>
                <w:lang w:val="en-US" w:eastAsia="zh-CN" w:bidi="ar"/>
              </w:rPr>
              <w:t>0.8</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stheme="minorBidi"/>
                <w:color w:val="000000"/>
                <w:kern w:val="2"/>
                <w:sz w:val="22"/>
                <w:szCs w:val="24"/>
                <w:lang w:val="en-US" w:eastAsia="zh-CN" w:bidi="ar-SA"/>
              </w:rPr>
            </w:pPr>
            <w:r>
              <w:rPr>
                <w:rFonts w:hint="eastAsia" w:ascii="Times New Roman" w:hAnsi="Times New Roman" w:eastAsia="Times New Roman"/>
                <w:color w:val="000000"/>
                <w:sz w:val="22"/>
              </w:rPr>
              <w:t>40%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新增产业</w:t>
            </w:r>
          </w:p>
        </w:tc>
      </w:tr>
    </w:tbl>
    <w:p>
      <w:pPr>
        <w:adjustRightInd w:val="0"/>
        <w:snapToGrid w:val="0"/>
        <w:ind w:left="840" w:hanging="840" w:hangingChars="400"/>
        <w:rPr>
          <w:rFonts w:ascii="Times New Roman" w:hAnsi="Times New Roman" w:eastAsia="仿宋_GB2312"/>
          <w:szCs w:val="21"/>
        </w:rPr>
      </w:pPr>
    </w:p>
    <w:p>
      <w:pPr>
        <w:adjustRightInd w:val="0"/>
        <w:snapToGrid w:val="0"/>
        <w:ind w:left="840" w:hanging="880" w:hangingChars="400"/>
        <w:rPr>
          <w:rFonts w:ascii="Times New Roman" w:hAnsi="Times New Roman" w:eastAsia="仿宋_GB2312"/>
          <w:sz w:val="22"/>
          <w:szCs w:val="22"/>
        </w:rPr>
      </w:pPr>
      <w:r>
        <w:rPr>
          <w:rFonts w:ascii="Times New Roman" w:hAnsi="Times New Roman" w:eastAsia="仿宋_GB2312"/>
          <w:sz w:val="22"/>
          <w:szCs w:val="22"/>
        </w:rPr>
        <w:t>备注：</w:t>
      </w:r>
      <w:r>
        <w:rPr>
          <w:rFonts w:hint="default" w:ascii="Times New Roman" w:hAnsi="Times New Roman" w:eastAsia="仿宋_GB2312" w:cs="Times New Roman"/>
          <w:sz w:val="22"/>
          <w:szCs w:val="22"/>
        </w:rPr>
        <w:t>1</w:t>
      </w:r>
      <w:r>
        <w:rPr>
          <w:rFonts w:ascii="Times New Roman" w:hAnsi="Times New Roman" w:eastAsia="仿宋_GB2312"/>
          <w:sz w:val="22"/>
          <w:szCs w:val="22"/>
        </w:rPr>
        <w:t>.固定资产投资强度、</w:t>
      </w:r>
      <w:r>
        <w:rPr>
          <w:rFonts w:hint="eastAsia" w:ascii="Times New Roman" w:hAnsi="Times New Roman" w:eastAsia="仿宋_GB2312"/>
          <w:sz w:val="22"/>
          <w:szCs w:val="22"/>
          <w:lang w:eastAsia="zh-CN"/>
        </w:rPr>
        <w:t>地</w:t>
      </w:r>
      <w:r>
        <w:rPr>
          <w:rFonts w:ascii="Times New Roman" w:hAnsi="Times New Roman" w:eastAsia="仿宋_GB2312"/>
          <w:sz w:val="22"/>
          <w:szCs w:val="22"/>
        </w:rPr>
        <w:t>均税收、产出强度：根据</w:t>
      </w:r>
      <w:r>
        <w:rPr>
          <w:rFonts w:hint="eastAsia" w:ascii="Times New Roman" w:hAnsi="Times New Roman" w:eastAsia="仿宋_GB2312"/>
          <w:sz w:val="22"/>
          <w:szCs w:val="22"/>
        </w:rPr>
        <w:t>《自然资源部关于发布工业项目建设用地控制指标的通知》《广西壮族自治区建设用地控制指标（</w:t>
      </w:r>
      <w:r>
        <w:rPr>
          <w:rFonts w:hint="default" w:ascii="Times New Roman" w:hAnsi="Times New Roman" w:eastAsia="仿宋_GB2312" w:cs="Times New Roman"/>
          <w:sz w:val="22"/>
          <w:szCs w:val="22"/>
        </w:rPr>
        <w:t>2021</w:t>
      </w:r>
      <w:r>
        <w:rPr>
          <w:rFonts w:hint="eastAsia" w:ascii="Times New Roman" w:hAnsi="Times New Roman" w:eastAsia="仿宋_GB2312"/>
          <w:sz w:val="22"/>
          <w:szCs w:val="22"/>
        </w:rPr>
        <w:t>年修订）》</w:t>
      </w:r>
      <w:r>
        <w:rPr>
          <w:rFonts w:hint="eastAsia" w:ascii="Times New Roman" w:hAnsi="Times New Roman" w:eastAsia="仿宋_GB2312"/>
          <w:sz w:val="22"/>
          <w:szCs w:val="22"/>
          <w:lang w:eastAsia="zh-CN"/>
        </w:rPr>
        <w:t>，结合柳州市实际情况</w:t>
      </w:r>
      <w:r>
        <w:rPr>
          <w:rFonts w:ascii="Times New Roman" w:hAnsi="Times New Roman" w:eastAsia="仿宋_GB2312"/>
          <w:sz w:val="22"/>
          <w:szCs w:val="22"/>
        </w:rPr>
        <w:t>综合确定。</w:t>
      </w:r>
    </w:p>
    <w:p>
      <w:pPr>
        <w:ind w:left="850" w:leftChars="300" w:hanging="220" w:hangingChars="100"/>
        <w:rPr>
          <w:rFonts w:hint="eastAsia" w:ascii="Times New Roman" w:hAnsi="Times New Roman" w:eastAsia="仿宋_GB2312"/>
          <w:sz w:val="22"/>
          <w:szCs w:val="22"/>
          <w:highlight w:val="none"/>
          <w:lang w:val="en-US" w:eastAsia="zh-CN"/>
        </w:rPr>
      </w:pPr>
      <w:r>
        <w:rPr>
          <w:rFonts w:hint="default" w:ascii="Times New Roman" w:hAnsi="Times New Roman" w:eastAsia="仿宋_GB2312" w:cs="Times New Roman"/>
          <w:sz w:val="22"/>
          <w:szCs w:val="22"/>
          <w:lang w:val="en-US" w:eastAsia="zh-CN"/>
        </w:rPr>
        <w:t>2</w:t>
      </w:r>
      <w:r>
        <w:rPr>
          <w:rFonts w:ascii="Times New Roman" w:hAnsi="Times New Roman" w:eastAsia="仿宋_GB2312"/>
          <w:sz w:val="22"/>
          <w:szCs w:val="22"/>
        </w:rPr>
        <w:t>.</w:t>
      </w:r>
      <w:r>
        <w:rPr>
          <w:rFonts w:hint="eastAsia" w:ascii="Times New Roman" w:hAnsi="Times New Roman" w:eastAsia="仿宋_GB2312"/>
          <w:sz w:val="22"/>
          <w:szCs w:val="22"/>
          <w:lang w:val="en-US" w:eastAsia="zh-CN"/>
        </w:rPr>
        <w:t>高新技术产业园区、综合类产业园区、外向</w:t>
      </w:r>
      <w:r>
        <w:rPr>
          <w:rFonts w:hint="eastAsia" w:ascii="Times New Roman" w:hAnsi="Times New Roman" w:eastAsia="仿宋_GB2312"/>
          <w:sz w:val="22"/>
          <w:szCs w:val="22"/>
          <w:highlight w:val="none"/>
          <w:lang w:val="en-US" w:eastAsia="zh-CN"/>
        </w:rPr>
        <w:t>型经济类产业园区</w:t>
      </w:r>
      <w:r>
        <w:rPr>
          <w:rFonts w:hint="eastAsia" w:ascii="Times New Roman" w:hAnsi="Times New Roman" w:eastAsia="仿宋_GB2312"/>
          <w:sz w:val="22"/>
          <w:szCs w:val="22"/>
          <w:highlight w:val="none"/>
          <w:lang w:eastAsia="zh-CN"/>
        </w:rPr>
        <w:t>地</w:t>
      </w:r>
      <w:r>
        <w:rPr>
          <w:rFonts w:ascii="Times New Roman" w:hAnsi="Times New Roman" w:eastAsia="仿宋_GB2312"/>
          <w:sz w:val="22"/>
          <w:szCs w:val="22"/>
          <w:highlight w:val="none"/>
        </w:rPr>
        <w:t>均税收、产出强度</w:t>
      </w:r>
      <w:r>
        <w:rPr>
          <w:rFonts w:hint="eastAsia" w:ascii="Times New Roman" w:hAnsi="Times New Roman" w:eastAsia="仿宋_GB2312"/>
          <w:sz w:val="22"/>
          <w:szCs w:val="22"/>
          <w:highlight w:val="none"/>
          <w:lang w:eastAsia="zh-CN"/>
        </w:rPr>
        <w:t>要求原则上不低于</w:t>
      </w:r>
      <w:r>
        <w:rPr>
          <w:rFonts w:hint="eastAsia" w:ascii="Times New Roman" w:hAnsi="Times New Roman" w:eastAsia="仿宋_GB2312"/>
          <w:sz w:val="22"/>
          <w:szCs w:val="22"/>
          <w:highlight w:val="none"/>
        </w:rPr>
        <w:t>《广西壮族自治区建设用地控制指标（</w:t>
      </w:r>
      <w:r>
        <w:rPr>
          <w:rFonts w:hint="default" w:ascii="Times New Roman" w:hAnsi="Times New Roman" w:eastAsia="仿宋_GB2312" w:cs="Times New Roman"/>
          <w:sz w:val="22"/>
          <w:szCs w:val="22"/>
          <w:highlight w:val="none"/>
        </w:rPr>
        <w:t>2021</w:t>
      </w:r>
      <w:r>
        <w:rPr>
          <w:rFonts w:hint="eastAsia" w:ascii="Times New Roman" w:hAnsi="Times New Roman" w:eastAsia="仿宋_GB2312"/>
          <w:sz w:val="22"/>
          <w:szCs w:val="22"/>
          <w:highlight w:val="none"/>
        </w:rPr>
        <w:t>年修订）》</w:t>
      </w:r>
      <w:r>
        <w:rPr>
          <w:rFonts w:hint="eastAsia" w:ascii="Times New Roman" w:hAnsi="Times New Roman" w:eastAsia="仿宋_GB2312"/>
          <w:sz w:val="22"/>
          <w:szCs w:val="22"/>
          <w:highlight w:val="none"/>
          <w:lang w:eastAsia="zh-CN"/>
        </w:rPr>
        <w:t>所设定标准。</w:t>
      </w:r>
    </w:p>
    <w:p>
      <w:pPr>
        <w:ind w:left="850" w:leftChars="300" w:hanging="220" w:hangingChars="100"/>
        <w:rPr>
          <w:rFonts w:ascii="Times New Roman" w:hAnsi="Times New Roman" w:eastAsia="仿宋_GB2312"/>
          <w:sz w:val="22"/>
          <w:szCs w:val="22"/>
          <w:highlight w:val="none"/>
        </w:rPr>
      </w:pPr>
      <w:r>
        <w:rPr>
          <w:rFonts w:hint="default" w:ascii="Times New Roman" w:hAnsi="Times New Roman" w:eastAsia="仿宋_GB2312" w:cs="Times New Roman"/>
          <w:sz w:val="22"/>
          <w:szCs w:val="22"/>
          <w:highlight w:val="none"/>
          <w:lang w:val="en-US" w:eastAsia="zh-CN"/>
        </w:rPr>
        <w:t>3</w:t>
      </w:r>
      <w:r>
        <w:rPr>
          <w:rFonts w:hint="eastAsia" w:ascii="Times New Roman" w:hAnsi="Times New Roman" w:eastAsia="仿宋_GB2312"/>
          <w:sz w:val="22"/>
          <w:szCs w:val="22"/>
          <w:highlight w:val="none"/>
          <w:lang w:val="en-US" w:eastAsia="zh-CN"/>
        </w:rPr>
        <w:t>.</w:t>
      </w:r>
      <w:r>
        <w:rPr>
          <w:rFonts w:hint="eastAsia" w:ascii="Times New Roman" w:hAnsi="Times New Roman" w:eastAsia="仿宋_GB2312"/>
          <w:sz w:val="22"/>
          <w:szCs w:val="22"/>
          <w:highlight w:val="none"/>
        </w:rPr>
        <w:t>对于部分项目受控高</w:t>
      </w:r>
      <w:r>
        <w:rPr>
          <w:rFonts w:hint="eastAsia" w:ascii="Times New Roman" w:hAnsi="Times New Roman" w:eastAsia="仿宋_GB2312"/>
          <w:sz w:val="22"/>
          <w:szCs w:val="22"/>
          <w:highlight w:val="none"/>
          <w:lang w:eastAsia="zh-CN"/>
        </w:rPr>
        <w:t>等特殊原因</w:t>
      </w:r>
      <w:r>
        <w:rPr>
          <w:rFonts w:hint="eastAsia" w:ascii="Times New Roman" w:hAnsi="Times New Roman" w:eastAsia="仿宋_GB2312"/>
          <w:sz w:val="22"/>
          <w:szCs w:val="22"/>
          <w:highlight w:val="none"/>
        </w:rPr>
        <w:t>影响，固定资产投资受限，不能达到柳州市控制指标约定要求的，按一事一议方式报市入园联合论证会审议。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5B4A12"/>
    <w:rsid w:val="03C501B0"/>
    <w:rsid w:val="03C87CB1"/>
    <w:rsid w:val="03E21C1D"/>
    <w:rsid w:val="09B8235D"/>
    <w:rsid w:val="0EE40213"/>
    <w:rsid w:val="0FF105B4"/>
    <w:rsid w:val="112A3C88"/>
    <w:rsid w:val="11325701"/>
    <w:rsid w:val="11406872"/>
    <w:rsid w:val="11923E28"/>
    <w:rsid w:val="15C11663"/>
    <w:rsid w:val="1681152E"/>
    <w:rsid w:val="17247D00"/>
    <w:rsid w:val="175C1F69"/>
    <w:rsid w:val="1782589F"/>
    <w:rsid w:val="1847341E"/>
    <w:rsid w:val="1865726E"/>
    <w:rsid w:val="18A040C5"/>
    <w:rsid w:val="18BD0628"/>
    <w:rsid w:val="19C23833"/>
    <w:rsid w:val="1C303D2A"/>
    <w:rsid w:val="1CD37C8E"/>
    <w:rsid w:val="1CDC231E"/>
    <w:rsid w:val="1E7C2139"/>
    <w:rsid w:val="1F6D78FD"/>
    <w:rsid w:val="22E02F9B"/>
    <w:rsid w:val="23797492"/>
    <w:rsid w:val="24EA586D"/>
    <w:rsid w:val="25062FC2"/>
    <w:rsid w:val="264118A2"/>
    <w:rsid w:val="2A740C9F"/>
    <w:rsid w:val="30A56AA3"/>
    <w:rsid w:val="31AB18CD"/>
    <w:rsid w:val="32D10F1E"/>
    <w:rsid w:val="388E3E26"/>
    <w:rsid w:val="38D40C32"/>
    <w:rsid w:val="39F2476E"/>
    <w:rsid w:val="3BFF3AA4"/>
    <w:rsid w:val="3EEE6329"/>
    <w:rsid w:val="3F287E9E"/>
    <w:rsid w:val="3F5F40EB"/>
    <w:rsid w:val="44345F07"/>
    <w:rsid w:val="445258B9"/>
    <w:rsid w:val="446420FC"/>
    <w:rsid w:val="4699520F"/>
    <w:rsid w:val="48F61477"/>
    <w:rsid w:val="4A1F3B30"/>
    <w:rsid w:val="4CB96D8C"/>
    <w:rsid w:val="4CD21A4E"/>
    <w:rsid w:val="4F44756E"/>
    <w:rsid w:val="4F55548C"/>
    <w:rsid w:val="4FC67E39"/>
    <w:rsid w:val="4FF054DF"/>
    <w:rsid w:val="52542F02"/>
    <w:rsid w:val="55F679A3"/>
    <w:rsid w:val="5650665B"/>
    <w:rsid w:val="566C4214"/>
    <w:rsid w:val="57F37FC6"/>
    <w:rsid w:val="598D7C8B"/>
    <w:rsid w:val="5B437601"/>
    <w:rsid w:val="5C0A12CB"/>
    <w:rsid w:val="5C983528"/>
    <w:rsid w:val="5D477C92"/>
    <w:rsid w:val="5D496268"/>
    <w:rsid w:val="5E2F0A54"/>
    <w:rsid w:val="5F2D7682"/>
    <w:rsid w:val="620D629E"/>
    <w:rsid w:val="646636F1"/>
    <w:rsid w:val="65D34A39"/>
    <w:rsid w:val="66606F18"/>
    <w:rsid w:val="66A34A8F"/>
    <w:rsid w:val="68415B39"/>
    <w:rsid w:val="6A83180C"/>
    <w:rsid w:val="6C7C4038"/>
    <w:rsid w:val="6C95691A"/>
    <w:rsid w:val="70947326"/>
    <w:rsid w:val="71DB3751"/>
    <w:rsid w:val="721C4AFF"/>
    <w:rsid w:val="726C12B3"/>
    <w:rsid w:val="74066562"/>
    <w:rsid w:val="756B1A5D"/>
    <w:rsid w:val="764F5E3C"/>
    <w:rsid w:val="772E058B"/>
    <w:rsid w:val="78B51D07"/>
    <w:rsid w:val="790C1842"/>
    <w:rsid w:val="79310C66"/>
    <w:rsid w:val="7CA62D22"/>
    <w:rsid w:val="7DCA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customStyle="1" w:styleId="5">
    <w:name w:val="font01"/>
    <w:basedOn w:val="4"/>
    <w:qFormat/>
    <w:uiPriority w:val="0"/>
    <w:rPr>
      <w:rFonts w:hint="eastAsia" w:ascii="宋体" w:hAnsi="宋体" w:eastAsia="宋体" w:cs="宋体"/>
      <w:color w:val="000000"/>
      <w:sz w:val="20"/>
      <w:szCs w:val="20"/>
      <w:u w:val="none"/>
    </w:rPr>
  </w:style>
  <w:style w:type="character" w:customStyle="1" w:styleId="6">
    <w:name w:val="font41"/>
    <w:basedOn w:val="4"/>
    <w:qFormat/>
    <w:uiPriority w:val="0"/>
    <w:rPr>
      <w:rFonts w:hint="eastAsia" w:ascii="黑体" w:hAnsi="宋体" w:eastAsia="黑体" w:cs="黑体"/>
      <w:color w:val="000000"/>
      <w:sz w:val="20"/>
      <w:szCs w:val="20"/>
      <w:u w:val="none"/>
    </w:rPr>
  </w:style>
  <w:style w:type="character" w:customStyle="1" w:styleId="7">
    <w:name w:val="标题 1 Char"/>
    <w:basedOn w:val="4"/>
    <w:link w:val="2"/>
    <w:qFormat/>
    <w:uiPriority w:val="0"/>
    <w:rPr>
      <w:b/>
      <w:bCs/>
      <w:kern w:val="44"/>
      <w:sz w:val="44"/>
      <w:szCs w:val="44"/>
    </w:rPr>
  </w:style>
  <w:style w:type="paragraph" w:customStyle="1" w:styleId="8">
    <w:name w:val="Default"/>
    <w:next w:val="9"/>
    <w:qFormat/>
    <w:uiPriority w:val="99"/>
    <w:pPr>
      <w:widowControl w:val="0"/>
      <w:autoSpaceDE w:val="0"/>
      <w:autoSpaceDN w:val="0"/>
      <w:adjustRightInd w:val="0"/>
    </w:pPr>
    <w:rPr>
      <w:rFonts w:ascii="仿宋_GB2312" w:hAnsi="仿宋_GB2312" w:eastAsia="仿宋_GB2312" w:cs="Times New Roman"/>
      <w:color w:val="000000"/>
      <w:kern w:val="0"/>
      <w:sz w:val="24"/>
      <w:szCs w:val="20"/>
      <w:lang w:val="en-US" w:eastAsia="zh-CN" w:bidi="ar-SA"/>
    </w:rPr>
  </w:style>
  <w:style w:type="paragraph" w:customStyle="1" w:styleId="9">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2025-03-20T01:48:00Z</dcterms:created>
  <dc:creator>kflyk</dc:creator>
  <cp:lastModifiedBy>吴静</cp:lastModifiedBy>
  <cp:lastPrinted>2025-04-24T07:19:00Z</cp:lastPrinted>
  <dcterms:modified xsi:type="dcterms:W3CDTF">2025-04-28T07:57:59Z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