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11B5">
      <w:pPr>
        <w:pStyle w:val="46"/>
      </w:pPr>
    </w:p>
    <w:p w14:paraId="15F22DAC">
      <w:pPr>
        <w:pStyle w:val="46"/>
      </w:pPr>
    </w:p>
    <w:p w14:paraId="0029B7C6">
      <w:pPr>
        <w:pStyle w:val="46"/>
      </w:pPr>
    </w:p>
    <w:p w14:paraId="41324FEA">
      <w:pPr>
        <w:pStyle w:val="46"/>
        <w:spacing w:line="240" w:lineRule="auto"/>
        <w:jc w:val="center"/>
        <w:rPr>
          <w:rFonts w:eastAsia="方正黑体简体"/>
          <w:sz w:val="60"/>
          <w:szCs w:val="60"/>
        </w:rPr>
      </w:pPr>
      <w:r>
        <w:rPr>
          <w:rFonts w:hint="eastAsia" w:ascii="方正黑体简体" w:hAnsi="方正黑体简体" w:eastAsia="方正黑体简体" w:cs="方正黑体简体"/>
          <w:sz w:val="60"/>
          <w:szCs w:val="60"/>
        </w:rPr>
        <w:t>柳州市城乡规划管理技术指南</w:t>
      </w:r>
    </w:p>
    <w:p w14:paraId="324071B0">
      <w:pPr>
        <w:pStyle w:val="46"/>
        <w:jc w:val="center"/>
      </w:pPr>
      <w:r>
        <w:rPr>
          <w:sz w:val="32"/>
        </w:rPr>
        <w:pict>
          <v:rect id="_x0000_s1026" o:spid="_x0000_s1026" o:spt="1" style="position:absolute;left:0pt;margin-left:-78.95pt;margin-top:1.4pt;height:23.4pt;width:669.6pt;z-index:251698176;v-text-anchor:middle;mso-width-relative:page;mso-height-relative:page;" fillcolor="#BDD7EE" filled="t" stroked="f" coordsize="21600,21600" o:gfxdata="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9QxJNkAAAAKAQAADwAA&#10;AAAAAAABACAAAAAiAAAAZHJzL2Rvd25yZXYueG1sUEsBAhQAFAAAAAgAh07iQBBE8qyHAgAABgUA&#10;AA4AAAAAAAAAAQAgAAAAKAEAAGRycy9lMm9Eb2MueG1sUEsFBgAAAAAGAAYAWQEAACEGAAAAAA==&#10;">
            <v:path/>
            <v:fill on="t" focussize="0,0"/>
            <v:stroke on="f" weight="1pt"/>
            <v:imagedata o:title=""/>
            <o:lock v:ext="edit"/>
          </v:rect>
        </w:pict>
      </w:r>
    </w:p>
    <w:p w14:paraId="45DD7BF3">
      <w:pPr>
        <w:pStyle w:val="46"/>
        <w:jc w:val="center"/>
      </w:pPr>
    </w:p>
    <w:p w14:paraId="61607AD4">
      <w:pPr>
        <w:pStyle w:val="46"/>
      </w:pPr>
    </w:p>
    <w:p w14:paraId="5EA4DB78">
      <w:pPr>
        <w:pStyle w:val="46"/>
        <w:jc w:val="center"/>
      </w:pPr>
    </w:p>
    <w:p w14:paraId="1A42B1C9">
      <w:pPr>
        <w:pStyle w:val="46"/>
      </w:pPr>
    </w:p>
    <w:p w14:paraId="0E566284">
      <w:pPr>
        <w:pStyle w:val="46"/>
        <w:jc w:val="center"/>
      </w:pPr>
    </w:p>
    <w:p w14:paraId="332176EE">
      <w:pPr>
        <w:pStyle w:val="46"/>
        <w:jc w:val="center"/>
      </w:pPr>
    </w:p>
    <w:p w14:paraId="3BE04F4D">
      <w:pPr>
        <w:pStyle w:val="46"/>
        <w:jc w:val="center"/>
      </w:pPr>
    </w:p>
    <w:p w14:paraId="1EA0FA6D">
      <w:pPr>
        <w:pStyle w:val="46"/>
      </w:pPr>
    </w:p>
    <w:p w14:paraId="495F9E36">
      <w:pPr>
        <w:pStyle w:val="46"/>
        <w:jc w:val="center"/>
      </w:pPr>
    </w:p>
    <w:p w14:paraId="03B2CF0F">
      <w:pPr>
        <w:pStyle w:val="46"/>
        <w:jc w:val="center"/>
      </w:pPr>
    </w:p>
    <w:p w14:paraId="2AA1FF2A">
      <w:pPr>
        <w:pStyle w:val="46"/>
        <w:jc w:val="center"/>
        <w:rPr>
          <w:sz w:val="28"/>
          <w:szCs w:val="18"/>
        </w:rPr>
      </w:pPr>
      <w:r>
        <w:rPr>
          <w:rFonts w:hint="eastAsia"/>
          <w:sz w:val="28"/>
          <w:szCs w:val="18"/>
        </w:rPr>
        <w:t>柳州市自然资源和规划局</w:t>
      </w:r>
    </w:p>
    <w:p w14:paraId="19F911A3">
      <w:pPr>
        <w:pStyle w:val="46"/>
        <w:jc w:val="center"/>
        <w:rPr>
          <w:rFonts w:ascii="Times New Roman" w:hAnsi="Times New Roman" w:cs="Times New Roman"/>
          <w:sz w:val="28"/>
          <w:szCs w:val="28"/>
        </w:rPr>
      </w:pPr>
      <w:r>
        <w:rPr>
          <w:rFonts w:ascii="Times New Roman" w:hAnsi="Times New Roman" w:cs="Times New Roman"/>
          <w:sz w:val="28"/>
          <w:szCs w:val="28"/>
        </w:rPr>
        <w:t>2025年</w:t>
      </w:r>
      <w:r>
        <w:rPr>
          <w:rFonts w:hint="eastAsia" w:ascii="Times New Roman" w:hAnsi="Times New Roman" w:cs="Times New Roman"/>
          <w:sz w:val="28"/>
          <w:szCs w:val="28"/>
        </w:rPr>
        <w:t>7</w:t>
      </w:r>
      <w:r>
        <w:rPr>
          <w:rFonts w:ascii="Times New Roman" w:hAnsi="Times New Roman" w:cs="Times New Roman"/>
          <w:sz w:val="28"/>
          <w:szCs w:val="28"/>
        </w:rPr>
        <w:t>月</w:t>
      </w:r>
    </w:p>
    <w:p w14:paraId="21564D7A">
      <w:pPr>
        <w:pStyle w:val="17"/>
        <w:tabs>
          <w:tab w:val="right" w:leader="dot" w:pos="8844"/>
        </w:tabs>
        <w:ind w:firstLine="801"/>
        <w:jc w:val="center"/>
        <w:rPr>
          <w:b/>
          <w:sz w:val="40"/>
          <w:szCs w:val="32"/>
        </w:rPr>
      </w:pPr>
    </w:p>
    <w:p w14:paraId="6764E3F0">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1"/>
          <w:cols w:space="425" w:num="1"/>
          <w:docGrid w:type="lines" w:linePitch="312" w:charSpace="0"/>
        </w:sectPr>
      </w:pPr>
    </w:p>
    <w:p w14:paraId="3761B802">
      <w:pPr>
        <w:tabs>
          <w:tab w:val="right" w:leader="dot" w:pos="8834"/>
        </w:tabs>
        <w:ind w:firstLine="0" w:firstLineChars="0"/>
        <w:jc w:val="center"/>
        <w:rPr>
          <w:rFonts w:ascii="宋体" w:hAnsi="宋体" w:eastAsia="宋体" w:cs="宋体"/>
          <w:szCs w:val="28"/>
        </w:rPr>
      </w:pPr>
      <w:r>
        <w:rPr>
          <w:rFonts w:hint="eastAsia" w:ascii="黑体" w:hAnsi="黑体" w:eastAsia="黑体" w:cs="黑体"/>
          <w:bCs/>
          <w:sz w:val="36"/>
          <w:szCs w:val="40"/>
        </w:rPr>
        <w:t>目    录</w:t>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"1-3" \u </w:instrText>
      </w:r>
      <w:r>
        <w:rPr>
          <w:rFonts w:hint="eastAsia" w:ascii="宋体" w:hAnsi="宋体" w:eastAsia="宋体" w:cs="宋体"/>
          <w:b/>
          <w:sz w:val="28"/>
          <w:szCs w:val="28"/>
        </w:rPr>
        <w:fldChar w:fldCharType="separate"/>
      </w:r>
    </w:p>
    <w:p w14:paraId="56BF984B">
      <w:pPr>
        <w:pStyle w:val="17"/>
        <w:tabs>
          <w:tab w:val="right" w:leader="dot" w:pos="8844"/>
        </w:tabs>
        <w:ind w:firstLine="640"/>
      </w:pPr>
      <w:r>
        <w:rPr>
          <w:szCs w:val="28"/>
        </w:rPr>
        <w:t>第一章 总则</w:t>
      </w:r>
      <w:r>
        <w:tab/>
      </w:r>
      <w:r>
        <w:fldChar w:fldCharType="begin"/>
      </w:r>
      <w:r>
        <w:instrText xml:space="preserve"> PAGEREF _Toc26468 \h </w:instrText>
      </w:r>
      <w:r>
        <w:fldChar w:fldCharType="separate"/>
      </w:r>
      <w:r>
        <w:t>- 1 -</w:t>
      </w:r>
      <w:r>
        <w:fldChar w:fldCharType="end"/>
      </w:r>
    </w:p>
    <w:p w14:paraId="550B1905">
      <w:pPr>
        <w:pStyle w:val="19"/>
        <w:tabs>
          <w:tab w:val="right" w:leader="dot" w:pos="8844"/>
        </w:tabs>
        <w:ind w:left="640" w:firstLine="640"/>
      </w:pPr>
      <w:r>
        <w:t>一、目的与依据</w:t>
      </w:r>
      <w:r>
        <w:tab/>
      </w:r>
      <w:r>
        <w:fldChar w:fldCharType="begin"/>
      </w:r>
      <w:r>
        <w:instrText xml:space="preserve"> PAGEREF _Toc22657 \h </w:instrText>
      </w:r>
      <w:r>
        <w:fldChar w:fldCharType="separate"/>
      </w:r>
      <w:r>
        <w:t>- 1 -</w:t>
      </w:r>
      <w:r>
        <w:fldChar w:fldCharType="end"/>
      </w:r>
    </w:p>
    <w:p w14:paraId="252E0BE3">
      <w:pPr>
        <w:pStyle w:val="19"/>
        <w:tabs>
          <w:tab w:val="right" w:leader="dot" w:pos="8844"/>
        </w:tabs>
        <w:ind w:left="640" w:firstLine="640"/>
      </w:pPr>
      <w:r>
        <w:t>二、适用范围</w:t>
      </w:r>
      <w:r>
        <w:tab/>
      </w:r>
      <w:r>
        <w:fldChar w:fldCharType="begin"/>
      </w:r>
      <w:r>
        <w:instrText xml:space="preserve"> PAGEREF _Toc19163 \h </w:instrText>
      </w:r>
      <w:r>
        <w:fldChar w:fldCharType="separate"/>
      </w:r>
      <w:r>
        <w:t>- 1 -</w:t>
      </w:r>
      <w:r>
        <w:fldChar w:fldCharType="end"/>
      </w:r>
    </w:p>
    <w:p w14:paraId="2DD538E9">
      <w:pPr>
        <w:pStyle w:val="19"/>
        <w:tabs>
          <w:tab w:val="right" w:leader="dot" w:pos="8844"/>
        </w:tabs>
        <w:ind w:left="640" w:firstLine="640"/>
      </w:pPr>
      <w:r>
        <w:t>三、内容组成与效力</w:t>
      </w:r>
      <w:r>
        <w:tab/>
      </w:r>
      <w:r>
        <w:fldChar w:fldCharType="begin"/>
      </w:r>
      <w:r>
        <w:instrText xml:space="preserve"> PAGEREF _Toc1896 \h </w:instrText>
      </w:r>
      <w:r>
        <w:fldChar w:fldCharType="separate"/>
      </w:r>
      <w:r>
        <w:t>- 1 -</w:t>
      </w:r>
      <w:r>
        <w:fldChar w:fldCharType="end"/>
      </w:r>
    </w:p>
    <w:p w14:paraId="71649F23">
      <w:pPr>
        <w:pStyle w:val="17"/>
        <w:tabs>
          <w:tab w:val="right" w:leader="dot" w:pos="8844"/>
        </w:tabs>
        <w:ind w:firstLine="640"/>
      </w:pPr>
      <w:r>
        <w:rPr>
          <w:szCs w:val="28"/>
        </w:rPr>
        <w:t>第二章 建设用地</w:t>
      </w:r>
      <w:r>
        <w:tab/>
      </w:r>
      <w:r>
        <w:fldChar w:fldCharType="begin"/>
      </w:r>
      <w:r>
        <w:instrText xml:space="preserve"> PAGEREF _Toc10463 \h </w:instrText>
      </w:r>
      <w:r>
        <w:fldChar w:fldCharType="separate"/>
      </w:r>
      <w:r>
        <w:t>- 2 -</w:t>
      </w:r>
      <w:r>
        <w:fldChar w:fldCharType="end"/>
      </w:r>
    </w:p>
    <w:p w14:paraId="47D5DD2E">
      <w:pPr>
        <w:pStyle w:val="19"/>
        <w:tabs>
          <w:tab w:val="right" w:leader="dot" w:pos="8844"/>
        </w:tabs>
        <w:ind w:left="640" w:firstLine="640"/>
      </w:pPr>
      <w:r>
        <w:t>一、建设用地分类标准</w:t>
      </w:r>
      <w:r>
        <w:tab/>
      </w:r>
      <w:r>
        <w:fldChar w:fldCharType="begin"/>
      </w:r>
      <w:r>
        <w:instrText xml:space="preserve"> PAGEREF _Toc18772 \h </w:instrText>
      </w:r>
      <w:r>
        <w:fldChar w:fldCharType="separate"/>
      </w:r>
      <w:r>
        <w:t>- 2 -</w:t>
      </w:r>
      <w:r>
        <w:fldChar w:fldCharType="end"/>
      </w:r>
    </w:p>
    <w:p w14:paraId="3B736040">
      <w:pPr>
        <w:pStyle w:val="19"/>
        <w:tabs>
          <w:tab w:val="right" w:leader="dot" w:pos="8844"/>
        </w:tabs>
        <w:ind w:left="640" w:firstLine="640"/>
      </w:pPr>
      <w:r>
        <w:t>二、规划建设用地标准</w:t>
      </w:r>
      <w:r>
        <w:tab/>
      </w:r>
      <w:r>
        <w:fldChar w:fldCharType="begin"/>
      </w:r>
      <w:r>
        <w:instrText xml:space="preserve"> PAGEREF _Toc31448 \h </w:instrText>
      </w:r>
      <w:r>
        <w:fldChar w:fldCharType="separate"/>
      </w:r>
      <w:r>
        <w:t>- 2 -</w:t>
      </w:r>
      <w:r>
        <w:fldChar w:fldCharType="end"/>
      </w:r>
    </w:p>
    <w:p w14:paraId="42736948">
      <w:pPr>
        <w:pStyle w:val="17"/>
        <w:tabs>
          <w:tab w:val="right" w:leader="dot" w:pos="8844"/>
        </w:tabs>
        <w:ind w:firstLine="640"/>
      </w:pPr>
      <w:r>
        <w:rPr>
          <w:szCs w:val="28"/>
        </w:rPr>
        <w:t>第三章 建筑工程</w:t>
      </w:r>
      <w:r>
        <w:tab/>
      </w:r>
      <w:r>
        <w:fldChar w:fldCharType="begin"/>
      </w:r>
      <w:r>
        <w:instrText xml:space="preserve"> PAGEREF _Toc8638 \h </w:instrText>
      </w:r>
      <w:r>
        <w:fldChar w:fldCharType="separate"/>
      </w:r>
      <w:r>
        <w:t>- 4 -</w:t>
      </w:r>
      <w:r>
        <w:fldChar w:fldCharType="end"/>
      </w:r>
    </w:p>
    <w:p w14:paraId="734DEF2A">
      <w:pPr>
        <w:pStyle w:val="19"/>
        <w:tabs>
          <w:tab w:val="right" w:leader="dot" w:pos="8844"/>
        </w:tabs>
        <w:ind w:left="640" w:firstLine="640"/>
      </w:pPr>
      <w:r>
        <w:t>一、建筑间距</w:t>
      </w:r>
      <w:r>
        <w:tab/>
      </w:r>
      <w:r>
        <w:fldChar w:fldCharType="begin"/>
      </w:r>
      <w:r>
        <w:instrText xml:space="preserve"> PAGEREF _Toc17944 \h </w:instrText>
      </w:r>
      <w:r>
        <w:fldChar w:fldCharType="separate"/>
      </w:r>
      <w:r>
        <w:t>- 4 -</w:t>
      </w:r>
      <w:r>
        <w:fldChar w:fldCharType="end"/>
      </w:r>
    </w:p>
    <w:p w14:paraId="6252FFC0">
      <w:pPr>
        <w:pStyle w:val="19"/>
        <w:tabs>
          <w:tab w:val="right" w:leader="dot" w:pos="8844"/>
        </w:tabs>
        <w:ind w:left="640" w:firstLine="640"/>
      </w:pPr>
      <w:r>
        <w:t>二、建筑退让</w:t>
      </w:r>
      <w:r>
        <w:tab/>
      </w:r>
      <w:r>
        <w:fldChar w:fldCharType="begin"/>
      </w:r>
      <w:r>
        <w:instrText xml:space="preserve"> PAGEREF _Toc9385 \h </w:instrText>
      </w:r>
      <w:r>
        <w:fldChar w:fldCharType="separate"/>
      </w:r>
      <w:r>
        <w:t>- 12 -</w:t>
      </w:r>
      <w:r>
        <w:fldChar w:fldCharType="end"/>
      </w:r>
    </w:p>
    <w:p w14:paraId="3FC76E20">
      <w:pPr>
        <w:pStyle w:val="19"/>
        <w:tabs>
          <w:tab w:val="right" w:leader="dot" w:pos="8844"/>
        </w:tabs>
        <w:ind w:left="640" w:firstLine="640"/>
      </w:pPr>
      <w:r>
        <w:t>三、建（构）筑物高度</w:t>
      </w:r>
      <w:r>
        <w:tab/>
      </w:r>
      <w:r>
        <w:fldChar w:fldCharType="begin"/>
      </w:r>
      <w:r>
        <w:instrText xml:space="preserve"> PAGEREF _Toc10436 \h </w:instrText>
      </w:r>
      <w:r>
        <w:fldChar w:fldCharType="separate"/>
      </w:r>
      <w:r>
        <w:t>- 18 -</w:t>
      </w:r>
      <w:r>
        <w:fldChar w:fldCharType="end"/>
      </w:r>
    </w:p>
    <w:p w14:paraId="2915BD64">
      <w:pPr>
        <w:pStyle w:val="19"/>
        <w:tabs>
          <w:tab w:val="right" w:leader="dot" w:pos="8844"/>
        </w:tabs>
        <w:ind w:left="640" w:firstLine="640"/>
      </w:pPr>
      <w:r>
        <w:t>四、建筑沿路展开面</w:t>
      </w:r>
      <w:r>
        <w:tab/>
      </w:r>
      <w:r>
        <w:fldChar w:fldCharType="begin"/>
      </w:r>
      <w:r>
        <w:instrText xml:space="preserve"> PAGEREF _Toc29947 \h </w:instrText>
      </w:r>
      <w:r>
        <w:fldChar w:fldCharType="separate"/>
      </w:r>
      <w:r>
        <w:t>- 19 -</w:t>
      </w:r>
      <w:r>
        <w:fldChar w:fldCharType="end"/>
      </w:r>
    </w:p>
    <w:p w14:paraId="4BEBFFDD">
      <w:pPr>
        <w:pStyle w:val="19"/>
        <w:tabs>
          <w:tab w:val="right" w:leader="dot" w:pos="8844"/>
        </w:tabs>
        <w:ind w:left="640" w:firstLine="640"/>
      </w:pPr>
      <w:r>
        <w:t>五、场地竖向设计</w:t>
      </w:r>
      <w:r>
        <w:tab/>
      </w:r>
      <w:r>
        <w:fldChar w:fldCharType="begin"/>
      </w:r>
      <w:r>
        <w:instrText xml:space="preserve"> PAGEREF _Toc7917 \h </w:instrText>
      </w:r>
      <w:r>
        <w:fldChar w:fldCharType="separate"/>
      </w:r>
      <w:r>
        <w:t>- 21 -</w:t>
      </w:r>
      <w:r>
        <w:fldChar w:fldCharType="end"/>
      </w:r>
    </w:p>
    <w:p w14:paraId="4D28C0F4">
      <w:pPr>
        <w:pStyle w:val="19"/>
        <w:tabs>
          <w:tab w:val="right" w:leader="dot" w:pos="8844"/>
        </w:tabs>
        <w:ind w:left="640" w:firstLine="640"/>
      </w:pPr>
      <w:r>
        <w:t>六、建筑平面设计</w:t>
      </w:r>
      <w:r>
        <w:tab/>
      </w:r>
      <w:r>
        <w:fldChar w:fldCharType="begin"/>
      </w:r>
      <w:r>
        <w:instrText xml:space="preserve"> PAGEREF _Toc27843 \h </w:instrText>
      </w:r>
      <w:r>
        <w:fldChar w:fldCharType="separate"/>
      </w:r>
      <w:r>
        <w:t>- 22 -</w:t>
      </w:r>
      <w:r>
        <w:fldChar w:fldCharType="end"/>
      </w:r>
    </w:p>
    <w:p w14:paraId="1384BC3E">
      <w:pPr>
        <w:pStyle w:val="19"/>
        <w:tabs>
          <w:tab w:val="right" w:leader="dot" w:pos="8844"/>
        </w:tabs>
        <w:ind w:left="640" w:firstLine="640"/>
      </w:pPr>
      <w:r>
        <w:t>七、建筑层高</w:t>
      </w:r>
      <w:r>
        <w:tab/>
      </w:r>
      <w:r>
        <w:fldChar w:fldCharType="begin"/>
      </w:r>
      <w:r>
        <w:instrText xml:space="preserve"> PAGEREF _Toc31218 \h </w:instrText>
      </w:r>
      <w:r>
        <w:fldChar w:fldCharType="separate"/>
      </w:r>
      <w:r>
        <w:t>- 27 -</w:t>
      </w:r>
      <w:r>
        <w:fldChar w:fldCharType="end"/>
      </w:r>
    </w:p>
    <w:p w14:paraId="749313F5">
      <w:pPr>
        <w:pStyle w:val="19"/>
        <w:tabs>
          <w:tab w:val="right" w:leader="dot" w:pos="8844"/>
        </w:tabs>
        <w:ind w:left="640" w:firstLine="640"/>
      </w:pPr>
      <w:r>
        <w:t>八、其他</w:t>
      </w:r>
      <w:r>
        <w:tab/>
      </w:r>
      <w:r>
        <w:fldChar w:fldCharType="begin"/>
      </w:r>
      <w:r>
        <w:instrText xml:space="preserve"> PAGEREF _Toc8516 \h </w:instrText>
      </w:r>
      <w:r>
        <w:fldChar w:fldCharType="separate"/>
      </w:r>
      <w:r>
        <w:t>- 30 -</w:t>
      </w:r>
      <w:r>
        <w:fldChar w:fldCharType="end"/>
      </w:r>
    </w:p>
    <w:p w14:paraId="4D0E6C0F">
      <w:pPr>
        <w:pStyle w:val="17"/>
        <w:tabs>
          <w:tab w:val="right" w:leader="dot" w:pos="8844"/>
        </w:tabs>
        <w:ind w:firstLine="640"/>
      </w:pPr>
      <w:r>
        <w:rPr>
          <w:szCs w:val="28"/>
        </w:rPr>
        <w:t>第四章 公共设施与人居环境</w:t>
      </w:r>
      <w:r>
        <w:tab/>
      </w:r>
      <w:r>
        <w:fldChar w:fldCharType="begin"/>
      </w:r>
      <w:r>
        <w:instrText xml:space="preserve"> PAGEREF _Toc26077 \h </w:instrText>
      </w:r>
      <w:r>
        <w:fldChar w:fldCharType="separate"/>
      </w:r>
      <w:r>
        <w:t>- 32 -</w:t>
      </w:r>
      <w:r>
        <w:fldChar w:fldCharType="end"/>
      </w:r>
    </w:p>
    <w:p w14:paraId="37825AFE">
      <w:pPr>
        <w:pStyle w:val="19"/>
        <w:tabs>
          <w:tab w:val="right" w:leader="dot" w:pos="8844"/>
        </w:tabs>
        <w:ind w:left="640" w:firstLine="640"/>
      </w:pPr>
      <w:r>
        <w:t>一、分类标准</w:t>
      </w:r>
      <w:r>
        <w:tab/>
      </w:r>
      <w:r>
        <w:fldChar w:fldCharType="begin"/>
      </w:r>
      <w:r>
        <w:instrText xml:space="preserve"> PAGEREF _Toc13011 \h </w:instrText>
      </w:r>
      <w:r>
        <w:fldChar w:fldCharType="separate"/>
      </w:r>
      <w:r>
        <w:t>- 32 -</w:t>
      </w:r>
      <w:r>
        <w:fldChar w:fldCharType="end"/>
      </w:r>
    </w:p>
    <w:p w14:paraId="148E9780">
      <w:pPr>
        <w:pStyle w:val="19"/>
        <w:tabs>
          <w:tab w:val="right" w:leader="dot" w:pos="8844"/>
        </w:tabs>
        <w:ind w:left="640" w:firstLine="640"/>
      </w:pPr>
      <w:r>
        <w:t>二、布局标准</w:t>
      </w:r>
      <w:r>
        <w:tab/>
      </w:r>
      <w:r>
        <w:fldChar w:fldCharType="begin"/>
      </w:r>
      <w:r>
        <w:instrText xml:space="preserve"> PAGEREF _Toc23649 \h </w:instrText>
      </w:r>
      <w:r>
        <w:fldChar w:fldCharType="separate"/>
      </w:r>
      <w:r>
        <w:t>- 32 -</w:t>
      </w:r>
      <w:r>
        <w:fldChar w:fldCharType="end"/>
      </w:r>
    </w:p>
    <w:p w14:paraId="20C70B09">
      <w:pPr>
        <w:pStyle w:val="19"/>
        <w:tabs>
          <w:tab w:val="right" w:leader="dot" w:pos="8844"/>
        </w:tabs>
        <w:ind w:left="640" w:firstLine="640"/>
      </w:pPr>
      <w:r>
        <w:t>三、</w:t>
      </w:r>
      <w:r>
        <w:rPr>
          <w:rFonts w:hint="eastAsia"/>
        </w:rPr>
        <w:t>配套停车位设置标准</w:t>
      </w:r>
      <w:r>
        <w:tab/>
      </w:r>
      <w:r>
        <w:fldChar w:fldCharType="begin"/>
      </w:r>
      <w:r>
        <w:instrText xml:space="preserve"> PAGEREF _Toc19546 \h </w:instrText>
      </w:r>
      <w:r>
        <w:fldChar w:fldCharType="separate"/>
      </w:r>
      <w:r>
        <w:t>- 33 -</w:t>
      </w:r>
      <w:r>
        <w:fldChar w:fldCharType="end"/>
      </w:r>
    </w:p>
    <w:p w14:paraId="43F34AFC">
      <w:pPr>
        <w:pStyle w:val="17"/>
        <w:tabs>
          <w:tab w:val="right" w:leader="dot" w:pos="8844"/>
        </w:tabs>
        <w:ind w:firstLine="640"/>
      </w:pPr>
      <w:r>
        <w:rPr>
          <w:szCs w:val="28"/>
        </w:rPr>
        <w:t>第五章 道路交通</w:t>
      </w:r>
      <w:r>
        <w:tab/>
      </w:r>
      <w:r>
        <w:fldChar w:fldCharType="begin"/>
      </w:r>
      <w:r>
        <w:instrText xml:space="preserve"> PAGEREF _Toc22599 \h </w:instrText>
      </w:r>
      <w:r>
        <w:fldChar w:fldCharType="separate"/>
      </w:r>
      <w:r>
        <w:t>- 40 -</w:t>
      </w:r>
      <w:r>
        <w:fldChar w:fldCharType="end"/>
      </w:r>
    </w:p>
    <w:p w14:paraId="13BDE20C">
      <w:pPr>
        <w:pStyle w:val="19"/>
        <w:tabs>
          <w:tab w:val="right" w:leader="dot" w:pos="8844"/>
        </w:tabs>
        <w:ind w:left="640" w:firstLine="640"/>
      </w:pPr>
      <w:r>
        <w:t>一、道路功能等级划分与规划要求</w:t>
      </w:r>
      <w:r>
        <w:tab/>
      </w:r>
      <w:r>
        <w:fldChar w:fldCharType="begin"/>
      </w:r>
      <w:r>
        <w:instrText xml:space="preserve"> PAGEREF _Toc14169 \h </w:instrText>
      </w:r>
      <w:r>
        <w:fldChar w:fldCharType="separate"/>
      </w:r>
      <w:r>
        <w:t>- 40 -</w:t>
      </w:r>
      <w:r>
        <w:fldChar w:fldCharType="end"/>
      </w:r>
    </w:p>
    <w:p w14:paraId="68892423">
      <w:pPr>
        <w:pStyle w:val="19"/>
        <w:tabs>
          <w:tab w:val="right" w:leader="dot" w:pos="8844"/>
        </w:tabs>
        <w:ind w:left="640" w:firstLine="640"/>
      </w:pPr>
      <w:r>
        <w:t>二、地块出入口设置</w:t>
      </w:r>
      <w:r>
        <w:tab/>
      </w:r>
      <w:r>
        <w:fldChar w:fldCharType="begin"/>
      </w:r>
      <w:r>
        <w:instrText xml:space="preserve"> PAGEREF _Toc23991 \h </w:instrText>
      </w:r>
      <w:r>
        <w:fldChar w:fldCharType="separate"/>
      </w:r>
      <w:r>
        <w:t>- 41 -</w:t>
      </w:r>
      <w:r>
        <w:fldChar w:fldCharType="end"/>
      </w:r>
    </w:p>
    <w:p w14:paraId="75991CD3">
      <w:pPr>
        <w:pStyle w:val="17"/>
        <w:tabs>
          <w:tab w:val="right" w:leader="dot" w:pos="8844"/>
        </w:tabs>
        <w:ind w:firstLine="640"/>
      </w:pPr>
      <w:r>
        <w:rPr>
          <w:szCs w:val="28"/>
        </w:rPr>
        <w:t>第六章市政设施</w:t>
      </w:r>
      <w:r>
        <w:tab/>
      </w:r>
      <w:r>
        <w:fldChar w:fldCharType="begin"/>
      </w:r>
      <w:r>
        <w:instrText xml:space="preserve"> PAGEREF _Toc20496 \h </w:instrText>
      </w:r>
      <w:r>
        <w:fldChar w:fldCharType="separate"/>
      </w:r>
      <w:r>
        <w:t>- 44 -</w:t>
      </w:r>
      <w:r>
        <w:fldChar w:fldCharType="end"/>
      </w:r>
    </w:p>
    <w:p w14:paraId="3532CCA4">
      <w:pPr>
        <w:pStyle w:val="19"/>
        <w:tabs>
          <w:tab w:val="right" w:leader="dot" w:pos="8844"/>
        </w:tabs>
        <w:ind w:left="640" w:firstLine="640"/>
      </w:pPr>
      <w:r>
        <w:t>一、一般规定</w:t>
      </w:r>
      <w:r>
        <w:tab/>
      </w:r>
      <w:r>
        <w:fldChar w:fldCharType="begin"/>
      </w:r>
      <w:r>
        <w:instrText xml:space="preserve"> PAGEREF _Toc23190 \h </w:instrText>
      </w:r>
      <w:r>
        <w:fldChar w:fldCharType="separate"/>
      </w:r>
      <w:r>
        <w:t>- 44 -</w:t>
      </w:r>
      <w:r>
        <w:fldChar w:fldCharType="end"/>
      </w:r>
    </w:p>
    <w:p w14:paraId="47540235">
      <w:pPr>
        <w:pStyle w:val="19"/>
        <w:tabs>
          <w:tab w:val="right" w:leader="dot" w:pos="8844"/>
        </w:tabs>
        <w:ind w:left="640" w:firstLine="640"/>
      </w:pPr>
      <w:r>
        <w:rPr>
          <w:rFonts w:hint="eastAsia"/>
        </w:rPr>
        <w:t>二、公路及铁路</w:t>
      </w:r>
      <w:r>
        <w:tab/>
      </w:r>
      <w:r>
        <w:fldChar w:fldCharType="begin"/>
      </w:r>
      <w:r>
        <w:instrText xml:space="preserve"> PAGEREF _Toc11379 \h </w:instrText>
      </w:r>
      <w:r>
        <w:fldChar w:fldCharType="separate"/>
      </w:r>
      <w:r>
        <w:t>- 44 -</w:t>
      </w:r>
      <w:r>
        <w:fldChar w:fldCharType="end"/>
      </w:r>
    </w:p>
    <w:p w14:paraId="1BC575C1">
      <w:pPr>
        <w:pStyle w:val="19"/>
        <w:tabs>
          <w:tab w:val="right" w:leader="dot" w:pos="8844"/>
        </w:tabs>
        <w:ind w:left="640" w:firstLine="640"/>
      </w:pPr>
      <w:r>
        <w:rPr>
          <w:rFonts w:hint="eastAsia"/>
        </w:rPr>
        <w:t>三、架空电力线</w:t>
      </w:r>
      <w:r>
        <w:tab/>
      </w:r>
      <w:r>
        <w:fldChar w:fldCharType="begin"/>
      </w:r>
      <w:r>
        <w:instrText xml:space="preserve"> PAGEREF _Toc22206 \h </w:instrText>
      </w:r>
      <w:r>
        <w:fldChar w:fldCharType="separate"/>
      </w:r>
      <w:r>
        <w:t>- 45 -</w:t>
      </w:r>
      <w:r>
        <w:fldChar w:fldCharType="end"/>
      </w:r>
    </w:p>
    <w:p w14:paraId="5E977E2E">
      <w:pPr>
        <w:pStyle w:val="19"/>
        <w:tabs>
          <w:tab w:val="right" w:leader="dot" w:pos="8844"/>
        </w:tabs>
        <w:ind w:left="640" w:firstLine="640"/>
      </w:pPr>
      <w:r>
        <w:rPr>
          <w:rFonts w:hint="eastAsia"/>
        </w:rPr>
        <w:t>四、地下管线控制原则</w:t>
      </w:r>
      <w:r>
        <w:tab/>
      </w:r>
      <w:r>
        <w:fldChar w:fldCharType="begin"/>
      </w:r>
      <w:r>
        <w:instrText xml:space="preserve"> PAGEREF _Toc23462 \h </w:instrText>
      </w:r>
      <w:r>
        <w:fldChar w:fldCharType="separate"/>
      </w:r>
      <w:r>
        <w:t>- 46 -</w:t>
      </w:r>
      <w:r>
        <w:fldChar w:fldCharType="end"/>
      </w:r>
    </w:p>
    <w:p w14:paraId="659CE316">
      <w:pPr>
        <w:pStyle w:val="17"/>
        <w:tabs>
          <w:tab w:val="right" w:leader="dot" w:pos="8844"/>
        </w:tabs>
        <w:ind w:firstLine="640"/>
      </w:pPr>
      <w:r>
        <w:rPr>
          <w:szCs w:val="28"/>
        </w:rPr>
        <w:t>第七章 附则</w:t>
      </w:r>
      <w:r>
        <w:tab/>
      </w:r>
      <w:r>
        <w:fldChar w:fldCharType="begin"/>
      </w:r>
      <w:r>
        <w:instrText xml:space="preserve"> PAGEREF _Toc22337 \h </w:instrText>
      </w:r>
      <w:r>
        <w:fldChar w:fldCharType="separate"/>
      </w:r>
      <w:r>
        <w:t>- 47 -</w:t>
      </w:r>
      <w:r>
        <w:fldChar w:fldCharType="end"/>
      </w:r>
    </w:p>
    <w:p w14:paraId="563A685D">
      <w:pPr>
        <w:pStyle w:val="17"/>
        <w:tabs>
          <w:tab w:val="right" w:leader="dot" w:pos="8844"/>
        </w:tabs>
        <w:ind w:firstLine="640"/>
      </w:pPr>
      <w:r>
        <w:rPr>
          <w:szCs w:val="28"/>
        </w:rPr>
        <w:t>第八章 术语</w:t>
      </w:r>
      <w:r>
        <w:tab/>
      </w:r>
      <w:r>
        <w:fldChar w:fldCharType="begin"/>
      </w:r>
      <w:r>
        <w:instrText xml:space="preserve"> PAGEREF _Toc17512 \h </w:instrText>
      </w:r>
      <w:r>
        <w:fldChar w:fldCharType="separate"/>
      </w:r>
      <w:r>
        <w:t>- 48 -</w:t>
      </w:r>
      <w:r>
        <w:fldChar w:fldCharType="end"/>
      </w:r>
    </w:p>
    <w:p w14:paraId="68650A15">
      <w:pPr>
        <w:pStyle w:val="19"/>
        <w:tabs>
          <w:tab w:val="right" w:leader="dot" w:pos="8844"/>
        </w:tabs>
        <w:ind w:left="640" w:firstLine="640"/>
      </w:pPr>
      <w:r>
        <w:t>一、地段划分</w:t>
      </w:r>
      <w:r>
        <w:tab/>
      </w:r>
      <w:r>
        <w:fldChar w:fldCharType="begin"/>
      </w:r>
      <w:r>
        <w:instrText xml:space="preserve"> PAGEREF _Toc8253 \h </w:instrText>
      </w:r>
      <w:r>
        <w:fldChar w:fldCharType="separate"/>
      </w:r>
      <w:r>
        <w:t>- 48 -</w:t>
      </w:r>
      <w:r>
        <w:fldChar w:fldCharType="end"/>
      </w:r>
    </w:p>
    <w:p w14:paraId="705459C5">
      <w:pPr>
        <w:pStyle w:val="19"/>
        <w:tabs>
          <w:tab w:val="right" w:leader="dot" w:pos="8844"/>
        </w:tabs>
        <w:ind w:left="640" w:firstLine="640"/>
      </w:pPr>
      <w:r>
        <w:t>二、名词解释</w:t>
      </w:r>
      <w:r>
        <w:tab/>
      </w:r>
      <w:r>
        <w:fldChar w:fldCharType="begin"/>
      </w:r>
      <w:r>
        <w:instrText xml:space="preserve"> PAGEREF _Toc6477 \h </w:instrText>
      </w:r>
      <w:r>
        <w:fldChar w:fldCharType="separate"/>
      </w:r>
      <w:r>
        <w:t>- 49 -</w:t>
      </w:r>
      <w:r>
        <w:fldChar w:fldCharType="end"/>
      </w:r>
    </w:p>
    <w:p w14:paraId="1495CAA4">
      <w:pPr>
        <w:pStyle w:val="19"/>
        <w:tabs>
          <w:tab w:val="right" w:leader="dot" w:pos="8844"/>
        </w:tabs>
        <w:ind w:left="640" w:firstLine="640"/>
      </w:pPr>
      <w:r>
        <w:t>三、计算规则</w:t>
      </w:r>
      <w:r>
        <w:tab/>
      </w:r>
      <w:r>
        <w:fldChar w:fldCharType="begin"/>
      </w:r>
      <w:r>
        <w:instrText xml:space="preserve"> PAGEREF _Toc25887 \h </w:instrText>
      </w:r>
      <w:r>
        <w:fldChar w:fldCharType="separate"/>
      </w:r>
      <w:r>
        <w:t>- 52 -</w:t>
      </w:r>
      <w:r>
        <w:fldChar w:fldCharType="end"/>
      </w:r>
    </w:p>
    <w:p w14:paraId="37B0AE81">
      <w:pPr>
        <w:pStyle w:val="17"/>
        <w:tabs>
          <w:tab w:val="right" w:leader="dot" w:pos="8834"/>
        </w:tabs>
        <w:ind w:firstLine="0" w:firstLineChars="0"/>
        <w:jc w:val="center"/>
        <w:rPr>
          <w:b/>
          <w:sz w:val="28"/>
          <w:szCs w:val="22"/>
        </w:rPr>
      </w:pPr>
      <w:r>
        <w:rPr>
          <w:rFonts w:hint="eastAsia" w:ascii="宋体" w:hAnsi="宋体" w:eastAsia="宋体" w:cs="宋体"/>
          <w:szCs w:val="28"/>
        </w:rPr>
        <w:fldChar w:fldCharType="end"/>
      </w:r>
    </w:p>
    <w:p w14:paraId="36DBE19A">
      <w:pPr>
        <w:pStyle w:val="47"/>
        <w:rPr>
          <w:rFonts w:hint="default"/>
        </w:rPr>
        <w:sectPr>
          <w:footerReference r:id="rId11" w:type="default"/>
          <w:footerReference r:id="rId12" w:type="even"/>
          <w:pgSz w:w="11906" w:h="16838"/>
          <w:pgMar w:top="2098" w:right="1474" w:bottom="1985" w:left="1588" w:header="851" w:footer="992" w:gutter="0"/>
          <w:pgNumType w:fmt="numberInDash"/>
          <w:cols w:space="425" w:num="1"/>
          <w:docGrid w:type="lines" w:linePitch="312" w:charSpace="0"/>
        </w:sectPr>
      </w:pPr>
      <w:bookmarkStart w:id="0" w:name="_Toc17402"/>
    </w:p>
    <w:p w14:paraId="21F79C79">
      <w:pPr>
        <w:pStyle w:val="47"/>
        <w:rPr>
          <w:rFonts w:hint="default"/>
        </w:rPr>
      </w:pPr>
      <w:bookmarkStart w:id="1" w:name="_Toc200810607"/>
      <w:r>
        <w:rPr>
          <w:rFonts w:hint="default"/>
        </w:rPr>
        <w:pict>
          <v:shape id="_x0000_s2097" o:spid="_x0000_s2097" o:spt="100" style="position:absolute;left:0pt;margin-left:432.85pt;margin-top:-104.55pt;height:840.8pt;width:0pt;z-index:251662336;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&#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Jc5hs2gAAAA0BAAAPAAAAAAAAAAEAIAAAACIAAABk&#10;cnMvZG93bnJldi54bWxQSwECFAAUAAAACACHTuJAxsJY7K8CAADiBQAADgAAAAAAAAABACAAAAAp&#10;AQAAZHJzL2Uyb0RvYy54bWxQSwUGAAAAAAYABgBZAQAASgYAAAAA&#10;" adj=",," path="m0,0l0,10678160e">
            <v:path o:connecttype="segments" o:connectlocs="@0,0;@0,10678160" o:connectangles="0,0"/>
            <v:fill on="f" focussize="0,0"/>
            <v:stroke weight="2pt" color="#2E75B6" joinstyle="miter"/>
            <v:imagedata o:title=""/>
            <o:lock v:ext="edit"/>
          </v:shape>
        </w:pict>
      </w:r>
      <w:r>
        <w:rPr>
          <w:rFonts w:hint="default"/>
        </w:rPr>
        <w:pict>
          <v:rect id="_x0000_s2096" o:spid="_x0000_s2096" o:spt="1" style="position:absolute;left:0pt;margin-left:-79.4pt;margin-top:-104.75pt;height:846.05pt;width:599pt;z-index:251660288;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6aMlHZAAAADwEA&#10;AA8AAAAAAAAAAQAgAAAAIgAAAGRycy9kb3ducmV2LnhtbFBLAQIUABQAAAAIAIdO4kCw3uDUiwIA&#10;AAsFAAAOAAAAAAAAAAEAIAAAACgBAABkcnMvZTJvRG9jLnhtbFBLBQYAAAAABgAGAFkBAAAlBgAA&#10;AAA=&#10;">
            <v:path/>
            <v:fill on="t" focussize="0,0"/>
            <v:stroke on="f" weight="1pt"/>
            <v:imagedata o:title=""/>
            <o:lock v:ext="edit"/>
          </v:rect>
        </w:pict>
      </w:r>
      <w:bookmarkEnd w:id="1"/>
    </w:p>
    <w:p w14:paraId="2935059B">
      <w:pPr>
        <w:ind w:firstLine="640"/>
      </w:pPr>
    </w:p>
    <w:p w14:paraId="53D1B209">
      <w:pPr>
        <w:ind w:firstLine="640"/>
      </w:pPr>
    </w:p>
    <w:p w14:paraId="414A95B1">
      <w:pPr>
        <w:ind w:firstLine="640"/>
      </w:pPr>
      <w:r>
        <w:pict>
          <v:shape id="_x0000_s2095" o:spid="_x0000_s2095" o:spt="202" type="#_x0000_t202" style="position:absolute;left:0pt;margin-left:263.1pt;margin-top:9.65pt;height:100.15pt;width:166.05pt;z-index:251663360;mso-width-relative:page;mso-height-relative:page;" filled="f" stroked="f" coordsize="21600,21600" o:gfxdata="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jYTRx2gAAAAoBAAAPAAAA&#10;AAAAAAEAIAAAACIAAABkcnMvZG93bnJldi54bWxQSwECFAAUAAAACACHTuJAiBe1nEwCAAB1BAAA&#10;DgAAAAAAAAABACAAAAApAQAAZHJzL2Uyb0RvYy54bWxQSwUGAAAAAAYABgBZAQAA5wUAAAAA&#10;">
            <v:path/>
            <v:fill on="f" focussize="0,0"/>
            <v:stroke on="f" weight="0.5pt" joinstyle="miter"/>
            <v:imagedata o:title=""/>
            <o:lock v:ext="edit"/>
            <v:textbox>
              <w:txbxContent>
                <w:p w14:paraId="3022B374">
                  <w:pPr>
                    <w:spacing w:line="640" w:lineRule="exact"/>
                    <w:ind w:firstLine="880"/>
                    <w:rPr>
                      <w:rFonts w:ascii="黑体" w:hAnsi="黑体" w:eastAsia="黑体" w:cs="黑体"/>
                      <w:sz w:val="44"/>
                      <w:szCs w:val="36"/>
                    </w:rPr>
                  </w:pPr>
                  <w:r>
                    <w:rPr>
                      <w:rFonts w:hint="eastAsia" w:ascii="黑体" w:hAnsi="黑体" w:eastAsia="黑体" w:cs="黑体"/>
                      <w:sz w:val="44"/>
                      <w:szCs w:val="36"/>
                    </w:rPr>
                    <w:t>第一章</w:t>
                  </w:r>
                </w:p>
                <w:p w14:paraId="3C7FE547">
                  <w:pPr>
                    <w:spacing w:line="640" w:lineRule="exact"/>
                    <w:ind w:firstLine="880"/>
                    <w:rPr>
                      <w:rFonts w:ascii="黑体" w:hAnsi="黑体" w:eastAsia="黑体" w:cs="黑体"/>
                      <w:sz w:val="44"/>
                      <w:szCs w:val="36"/>
                    </w:rPr>
                  </w:pPr>
                  <w:r>
                    <w:rPr>
                      <w:rFonts w:hint="eastAsia" w:ascii="黑体" w:hAnsi="黑体" w:eastAsia="黑体" w:cs="黑体"/>
                      <w:sz w:val="44"/>
                      <w:szCs w:val="36"/>
                    </w:rPr>
                    <w:t>总  则</w:t>
                  </w:r>
                </w:p>
              </w:txbxContent>
            </v:textbox>
          </v:shape>
        </w:pict>
      </w:r>
    </w:p>
    <w:p w14:paraId="76EC4E99">
      <w:pPr>
        <w:ind w:firstLine="640"/>
      </w:pPr>
      <w:r>
        <w:pict>
          <v:shape id="_x0000_s2094" o:spid="_x0000_s2094" o:spt="100" style="position:absolute;left:0pt;margin-left:263.5pt;margin-top:19.5pt;height:0pt;width:169.8pt;z-index:251664384;mso-width-relative:page;mso-height-relative:page;" filled="f" stroked="t" coordsize="2156460,1" o:gfxdata="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WkvyV1wAAAAkBAAAPAAAAAAAAAAEAIAAAACIAAABkcnMvZG93&#10;bnJldi54bWxQSwECFAAUAAAACACHTuJAIvOBd6wCAADfBQAADgAAAAAAAAABACAAAAAmAQAAZHJz&#10;L2Uyb0RvYy54bWxQSwUGAAAAAAYABgBZAQAARAYAAAAA&#10;" adj=",," path="m2156460,0l0,0e">
            <v:path o:connecttype="segments" o:connectlocs="2156460,@0;0,@0" o:connectangles="0,0"/>
            <v:fill on="f" focussize="0,0"/>
            <v:stroke weight="2pt" color="#2E75B6" joinstyle="miter"/>
            <v:imagedata o:title=""/>
            <o:lock v:ext="edit"/>
          </v:shape>
        </w:pict>
      </w:r>
    </w:p>
    <w:p w14:paraId="3C591DC0">
      <w:pPr>
        <w:ind w:firstLine="640"/>
      </w:pPr>
    </w:p>
    <w:p w14:paraId="7B4F5B52">
      <w:pPr>
        <w:ind w:firstLine="640"/>
      </w:pPr>
      <w:r>
        <w:pict>
          <v:rect id="_x0000_s2093" o:spid="_x0000_s2093" o:spt="1" style="position:absolute;left:0pt;margin-left:-78.95pt;margin-top:1.4pt;height:23.4pt;width:595.3pt;z-index:251661312;v-text-anchor:middle;mso-width-relative:page;mso-height-relative:page;" fillcolor="#BDD7EE" filled="t" stroked="f" coordsize="21600,21600" o:gfxdata="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UacNkA&#10;AAAKAQAADwAAAAAAAAABACAAAAAiAAAAZHJzL2Rvd25yZXYueG1sUEsBAhQAFAAAAAgAh07iQLUL&#10;xCOQAgAADwUAAA4AAAAAAAAAAQAgAAAAKAEAAGRycy9lMm9Eb2MueG1sUEsFBgAAAAAGAAYAWQEA&#10;ACoGAAAAAA==&#10;">
            <v:path/>
            <v:fill on="t" focussize="0,0"/>
            <v:stroke on="f" weight="1pt"/>
            <v:imagedata o:title=""/>
            <o:lock v:ext="edit"/>
          </v:rect>
        </w:pict>
      </w:r>
    </w:p>
    <w:p w14:paraId="51F67BD3">
      <w:pPr>
        <w:ind w:firstLine="640"/>
      </w:pPr>
    </w:p>
    <w:p w14:paraId="3258E067">
      <w:pPr>
        <w:ind w:firstLine="640"/>
      </w:pPr>
    </w:p>
    <w:p w14:paraId="2494810D">
      <w:pPr>
        <w:ind w:firstLine="640"/>
      </w:pPr>
    </w:p>
    <w:p w14:paraId="0C8E0B0F">
      <w:pPr>
        <w:ind w:firstLine="640"/>
      </w:pPr>
    </w:p>
    <w:p w14:paraId="5E278D4F">
      <w:pPr>
        <w:ind w:firstLine="640"/>
      </w:pPr>
    </w:p>
    <w:p w14:paraId="0F9232BC">
      <w:pPr>
        <w:ind w:firstLine="640"/>
      </w:pPr>
    </w:p>
    <w:p w14:paraId="4F065995">
      <w:pPr>
        <w:ind w:firstLine="640"/>
      </w:pPr>
    </w:p>
    <w:p w14:paraId="124C7039">
      <w:pPr>
        <w:ind w:firstLine="640"/>
      </w:pPr>
    </w:p>
    <w:p w14:paraId="6D1DF7EF">
      <w:pPr>
        <w:ind w:firstLine="640"/>
      </w:pPr>
    </w:p>
    <w:p w14:paraId="3F25C295">
      <w:pPr>
        <w:ind w:firstLine="640"/>
        <w:sectPr>
          <w:headerReference r:id="rId13" w:type="default"/>
          <w:footerReference r:id="rId15" w:type="default"/>
          <w:headerReference r:id="rId14" w:type="even"/>
          <w:footerReference r:id="rId16" w:type="even"/>
          <w:pgSz w:w="11906" w:h="16838"/>
          <w:pgMar w:top="2098" w:right="1474" w:bottom="1985" w:left="1588" w:header="851" w:footer="992" w:gutter="0"/>
          <w:pgNumType w:fmt="numberInDash" w:start="1"/>
          <w:cols w:space="425" w:num="1"/>
          <w:docGrid w:type="lines" w:linePitch="312" w:charSpace="0"/>
        </w:sectPr>
      </w:pPr>
    </w:p>
    <w:p w14:paraId="7ACE6934">
      <w:pPr>
        <w:pStyle w:val="47"/>
        <w:jc w:val="center"/>
        <w:rPr>
          <w:rFonts w:hint="default"/>
          <w:sz w:val="36"/>
          <w:szCs w:val="28"/>
        </w:rPr>
      </w:pPr>
      <w:bookmarkStart w:id="2" w:name="_Toc26468"/>
      <w:bookmarkStart w:id="3" w:name="_Toc23477"/>
      <w:r>
        <w:rPr>
          <w:sz w:val="36"/>
          <w:szCs w:val="28"/>
        </w:rPr>
        <w:t>第一章 总则</w:t>
      </w:r>
      <w:bookmarkEnd w:id="0"/>
      <w:bookmarkEnd w:id="2"/>
      <w:bookmarkEnd w:id="3"/>
    </w:p>
    <w:p w14:paraId="7DBF1B3A">
      <w:pPr>
        <w:pStyle w:val="47"/>
        <w:ind w:firstLine="640" w:firstLineChars="200"/>
        <w:outlineLvl w:val="1"/>
        <w:rPr>
          <w:rFonts w:hint="default"/>
        </w:rPr>
      </w:pPr>
      <w:bookmarkStart w:id="4" w:name="_Toc18816"/>
      <w:bookmarkStart w:id="5" w:name="_Toc22657"/>
      <w:bookmarkStart w:id="6" w:name="_Toc11569"/>
      <w:r>
        <w:t>一、目的与依据</w:t>
      </w:r>
      <w:bookmarkEnd w:id="4"/>
      <w:bookmarkEnd w:id="5"/>
      <w:bookmarkEnd w:id="6"/>
    </w:p>
    <w:p w14:paraId="2010086C">
      <w:pPr>
        <w:ind w:firstLine="640"/>
      </w:pPr>
      <w:bookmarkStart w:id="7" w:name="_Toc489951323"/>
      <w:r>
        <w:rPr>
          <w:rFonts w:hint="eastAsia"/>
        </w:rPr>
        <w:t>为了加强本市城乡规划的编制和管理，实现城乡规划设计和规划管理的法制化、规范化、标准化，根据《中华人民共和国城乡规划法》《广西壮族自治区实施〈中华人民共和国城乡规划法〉办法》《民用建筑通用规范》《住宅</w:t>
      </w:r>
      <w:bookmarkStart w:id="87" w:name="_GoBack"/>
      <w:bookmarkEnd w:id="87"/>
      <w:r>
        <w:rPr>
          <w:rFonts w:hint="eastAsia"/>
        </w:rPr>
        <w:t>项目规范》等法律、法规及有关国家技术规范，结合本市实际情况，制定本技术指南。</w:t>
      </w:r>
      <w:bookmarkEnd w:id="7"/>
    </w:p>
    <w:p w14:paraId="616BABE4">
      <w:pPr>
        <w:pStyle w:val="47"/>
        <w:ind w:firstLine="640" w:firstLineChars="200"/>
        <w:outlineLvl w:val="1"/>
        <w:rPr>
          <w:rFonts w:hint="default"/>
        </w:rPr>
      </w:pPr>
      <w:bookmarkStart w:id="8" w:name="_Toc9011"/>
      <w:bookmarkStart w:id="9" w:name="_Toc19163"/>
      <w:bookmarkStart w:id="10" w:name="_Toc29505"/>
      <w:r>
        <w:t>二、适用范围</w:t>
      </w:r>
      <w:bookmarkEnd w:id="8"/>
      <w:bookmarkEnd w:id="9"/>
      <w:bookmarkEnd w:id="10"/>
    </w:p>
    <w:p w14:paraId="342F3472">
      <w:pPr>
        <w:ind w:firstLine="640"/>
      </w:pPr>
      <w:bookmarkStart w:id="11" w:name="_Toc31034"/>
      <w:bookmarkStart w:id="12" w:name="_Toc27953"/>
      <w:r>
        <w:rPr>
          <w:rFonts w:hint="eastAsia"/>
        </w:rPr>
        <w:t>本技术指南适用于本市城市规划区各项建设活动。柳州市下辖县区、乡镇可参照本指南执行。</w:t>
      </w:r>
    </w:p>
    <w:p w14:paraId="372DFC05">
      <w:pPr>
        <w:pStyle w:val="47"/>
        <w:ind w:firstLine="640" w:firstLineChars="200"/>
        <w:outlineLvl w:val="1"/>
        <w:rPr>
          <w:rFonts w:hint="default"/>
        </w:rPr>
      </w:pPr>
      <w:bookmarkStart w:id="13" w:name="_Toc1896"/>
      <w:r>
        <w:t>三、内容组成与效力</w:t>
      </w:r>
      <w:bookmarkEnd w:id="11"/>
      <w:bookmarkEnd w:id="12"/>
      <w:bookmarkEnd w:id="13"/>
    </w:p>
    <w:p w14:paraId="5E23C7B5">
      <w:pPr>
        <w:ind w:firstLine="640"/>
      </w:pPr>
      <w:r>
        <w:rPr>
          <w:rFonts w:hint="eastAsia"/>
        </w:rPr>
        <w:t>本技术指南由正文和附件共同组成，两者相辅相成，应一并遵守执行。本指南未涉及的内容应符合有关法律、法规、规范、标准、政策等要求。本指南涉及的相关法律法规、政策文件、国家标准规范等在本指南实施后有更新的，按更新的要求执行。</w:t>
      </w:r>
    </w:p>
    <w:p w14:paraId="23CC9A19">
      <w:pPr>
        <w:pStyle w:val="47"/>
        <w:outlineLvl w:val="1"/>
        <w:rPr>
          <w:rFonts w:hint="default"/>
        </w:rPr>
        <w:sectPr>
          <w:footerReference r:id="rId17" w:type="default"/>
          <w:footerReference r:id="rId18" w:type="even"/>
          <w:pgSz w:w="11906" w:h="16838"/>
          <w:pgMar w:top="2098" w:right="1474" w:bottom="1985" w:left="1588" w:header="851" w:footer="992" w:gutter="0"/>
          <w:pgNumType w:fmt="numberInDash" w:start="1"/>
          <w:cols w:space="425" w:num="1"/>
          <w:docGrid w:type="lines" w:linePitch="312" w:charSpace="0"/>
        </w:sectPr>
      </w:pPr>
      <w:bookmarkStart w:id="14" w:name="_Toc6500"/>
    </w:p>
    <w:p w14:paraId="4D0D41DA">
      <w:pPr>
        <w:pStyle w:val="47"/>
        <w:outlineLvl w:val="9"/>
        <w:rPr>
          <w:rFonts w:hint="default"/>
        </w:rPr>
      </w:pPr>
      <w:r>
        <w:rPr>
          <w:rFonts w:hint="default"/>
        </w:rPr>
        <w:pict>
          <v:rect id="_x0000_s2092" o:spid="_x0000_s2092" o:spt="1" style="position:absolute;left:0pt;margin-left:-79.4pt;margin-top:-104pt;height:846.05pt;width:599pt;z-index:251659264;v-text-anchor:middle;mso-width-relative:page;mso-height-relative:page;" fillcolor="#DEEBF7" filled="t" stroked="f" coordsize="21600,21600" o:gfxdata="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Pbef2QAAAA8BAAAP&#10;AAAAAAAAAAEAIAAAACIAAABkcnMvZG93bnJldi54bWxQSwECFAAUAAAACACHTuJA53yL6okCAAAI&#10;BQAADgAAAAAAAAABACAAAAAoAQAAZHJzL2Uyb0RvYy54bWxQSwUGAAAAAAYABgBZAQAAIwYAAAAA&#10;">
            <v:path/>
            <v:fill on="t" focussize="0,0"/>
            <v:stroke on="f" weight="1pt"/>
            <v:imagedata o:title=""/>
            <o:lock v:ext="edit"/>
          </v:rect>
        </w:pict>
      </w:r>
    </w:p>
    <w:p w14:paraId="2AE3B8BE">
      <w:pPr>
        <w:ind w:firstLine="0" w:firstLineChars="0"/>
        <w:sectPr>
          <w:pgSz w:w="11906" w:h="16838"/>
          <w:pgMar w:top="2098" w:right="1474" w:bottom="1985" w:left="1588" w:header="851" w:footer="992" w:gutter="0"/>
          <w:pgNumType w:fmt="numberInDash"/>
          <w:cols w:space="425" w:num="1"/>
          <w:docGrid w:type="lines" w:linePitch="312" w:charSpace="0"/>
        </w:sectPr>
      </w:pPr>
      <w:r>
        <w:pict>
          <v:shape id="_x0000_s2091" o:spid="_x0000_s2091" o:spt="100" style="position:absolute;left:0pt;margin-left:432.85pt;margin-top:-136.55pt;height:840.8pt;width:0pt;z-index:251666432;mso-width-relative:page;mso-height-relative:page;" filled="f" stroked="t" coordsize="1,10678160" o:gfxdata="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h5p4s2gAAAA0BAAAPAAAAAAAAAAEAIAAAACIAAABkcnMvZG93bnJldi54bWxQ&#10;SwECFAAUAAAACACHTuJAXiRzKq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pict>
          <v:shape id="_x0000_s2090" o:spid="_x0000_s2090" o:spt="100" style="position:absolute;left:0pt;margin-left:263.5pt;margin-top:103.5pt;height:0pt;width:169.8pt;z-index:251670528;mso-width-relative:page;mso-height-relative:page;" filled="f" stroked="t" coordsize="2156460,1" o:gfxdata="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vUDOLXAAAACwEAAA8AAAAAAAAAAQAgAAAAIgAAAGRycy9kb3ducmV2LnhtbFBLAQIU&#10;ABQAAAAIAIdO4kDIbotInwIAANMFAAAOAAAAAAAAAAEAIAAAACYBAABkcnMvZTJvRG9jLnhtbFBL&#10;BQYAAAAABgAGAFkBAAA3BgAAAAA=&#10;" adj=",," path="m2156460,0l0,0e">
            <v:path o:connecttype="segments" o:connectlocs="2156460,@0;0,@0" o:connectangles="0,0"/>
            <v:fill on="f" focussize="0,0"/>
            <v:stroke weight="2pt" color="#2E75B6" joinstyle="miter"/>
            <v:imagedata o:title=""/>
            <o:lock v:ext="edit"/>
          </v:shape>
        </w:pict>
      </w:r>
      <w:r>
        <w:pict>
          <v:shape id="_x0000_s2089" o:spid="_x0000_s2089" o:spt="202" type="#_x0000_t202" style="position:absolute;left:0pt;margin-left:263.1pt;margin-top:65.65pt;height:100.15pt;width:166.05pt;z-index:251667456;mso-width-relative:page;mso-height-relative:page;" filled="f" stroked="f" coordsize="21600,21600" o:gfxdata="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SGT1nbAAAACwEAAA8AAAAAAAAAAQAgAAAAIgAA&#10;AGRycy9kb3ducmV2LnhtbFBLAQIUABQAAAAIAIdO4kDC4XeGPgIAAGkEAAAOAAAAAAAAAAEAIAAA&#10;ACoBAABkcnMvZTJvRG9jLnhtbFBLBQYAAAAABgAGAFkBAADaBQAAAAA=&#10;">
            <v:path/>
            <v:fill on="f" focussize="0,0"/>
            <v:stroke on="f" weight="0.5pt" joinstyle="miter"/>
            <v:imagedata o:title=""/>
            <o:lock v:ext="edit"/>
            <v:textbox>
              <w:txbxContent>
                <w:p w14:paraId="3AD46101">
                  <w:pPr>
                    <w:spacing w:line="640" w:lineRule="exact"/>
                    <w:ind w:firstLine="880"/>
                    <w:rPr>
                      <w:rFonts w:ascii="黑体" w:hAnsi="黑体" w:eastAsia="黑体" w:cs="黑体"/>
                      <w:sz w:val="44"/>
                      <w:szCs w:val="36"/>
                    </w:rPr>
                  </w:pPr>
                  <w:r>
                    <w:rPr>
                      <w:rFonts w:hint="eastAsia" w:ascii="黑体" w:hAnsi="黑体" w:eastAsia="黑体" w:cs="黑体"/>
                      <w:sz w:val="44"/>
                      <w:szCs w:val="36"/>
                    </w:rPr>
                    <w:t>第二章</w:t>
                  </w:r>
                </w:p>
                <w:p w14:paraId="3D255A6A">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建设用地</w:t>
                  </w:r>
                </w:p>
              </w:txbxContent>
            </v:textbox>
          </v:shape>
        </w:pict>
      </w:r>
      <w:r>
        <w:pict>
          <v:rect id="_x0000_s2088" o:spid="_x0000_s2088" o:spt="1" style="position:absolute;left:0pt;margin-left:-78.95pt;margin-top:141.4pt;height:23.4pt;width:595.3pt;z-index:251665408;v-text-anchor:middle;mso-width-relative:page;mso-height-relative:page;" fillcolor="#BDD7EE" filled="t" stroked="f" coordsize="21600,21600" o:gfxdata="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XdgQy2wAAAA0BAAAP&#10;AAAAAAAAAAEAIAAAACIAAABkcnMvZG93bnJldi54bWxQSwECFAAUAAAACACHTuJAXdk83IcCAAAG&#10;BQAADgAAAAAAAAABACAAAAAqAQAAZHJzL2Uyb0RvYy54bWxQSwUGAAAAAAYABgBZAQAAIwYAAAAA&#10;">
            <v:path/>
            <v:fill on="t" focussize="0,0"/>
            <v:stroke on="f" weight="1pt"/>
            <v:imagedata o:title=""/>
            <o:lock v:ext="edit"/>
          </v:rect>
        </w:pict>
      </w:r>
    </w:p>
    <w:p w14:paraId="203E3DA6">
      <w:pPr>
        <w:pStyle w:val="47"/>
        <w:jc w:val="center"/>
        <w:rPr>
          <w:rFonts w:hint="default"/>
          <w:sz w:val="36"/>
          <w:szCs w:val="28"/>
        </w:rPr>
      </w:pPr>
      <w:bookmarkStart w:id="15" w:name="_Toc10463"/>
      <w:bookmarkStart w:id="16" w:name="_Toc14466"/>
      <w:r>
        <w:rPr>
          <w:sz w:val="36"/>
          <w:szCs w:val="28"/>
        </w:rPr>
        <w:t>第二章 建设用地</w:t>
      </w:r>
      <w:bookmarkEnd w:id="14"/>
      <w:bookmarkEnd w:id="15"/>
      <w:bookmarkEnd w:id="16"/>
    </w:p>
    <w:p w14:paraId="3AE81F3A">
      <w:pPr>
        <w:pStyle w:val="47"/>
        <w:ind w:firstLine="640" w:firstLineChars="200"/>
        <w:outlineLvl w:val="1"/>
        <w:rPr>
          <w:rFonts w:hint="default"/>
        </w:rPr>
      </w:pPr>
      <w:bookmarkStart w:id="17" w:name="_Toc23321"/>
      <w:bookmarkStart w:id="18" w:name="_Toc21898"/>
      <w:bookmarkStart w:id="19" w:name="_Toc18772"/>
      <w:r>
        <w:t>一、</w:t>
      </w:r>
      <w:bookmarkEnd w:id="17"/>
      <w:bookmarkEnd w:id="18"/>
      <w:r>
        <w:t>建设用地分类标准</w:t>
      </w:r>
      <w:bookmarkEnd w:id="19"/>
    </w:p>
    <w:p w14:paraId="6D7BEB4E">
      <w:pPr>
        <w:spacing w:before="160" w:after="160"/>
        <w:ind w:firstLine="640"/>
      </w:pPr>
      <w:r>
        <w:rPr>
          <w:rFonts w:hint="eastAsia"/>
        </w:rPr>
        <w:t>为做好国土空间规划与原有城乡规划体系过渡衔接工作，充分利用好已编已批控制性详细规划编制成果，在新编或调整的控制性详细</w:t>
      </w:r>
      <w:r>
        <w:rPr>
          <w:rFonts w:hint="eastAsia"/>
          <w:lang w:eastAsia="zh-CN"/>
        </w:rPr>
        <w:t>规划</w:t>
      </w:r>
      <w:r>
        <w:rPr>
          <w:rFonts w:hint="eastAsia"/>
        </w:rPr>
        <w:t>成果中，除用地分类代码参照《城市用地分类与规划建设用地标准》（GB50137-2011）确定外，规划用地分类、类别名称、含义等原则上按照《国土空间调查、规划、用途管制用地用海分类指南》确定。</w:t>
      </w:r>
    </w:p>
    <w:p w14:paraId="25F9BB9A">
      <w:pPr>
        <w:pStyle w:val="47"/>
        <w:ind w:firstLine="640" w:firstLineChars="200"/>
        <w:outlineLvl w:val="1"/>
        <w:rPr>
          <w:rFonts w:hint="default"/>
        </w:rPr>
      </w:pPr>
      <w:bookmarkStart w:id="20" w:name="_Toc31448"/>
      <w:r>
        <w:t>二、规划建设用地标准</w:t>
      </w:r>
      <w:bookmarkEnd w:id="20"/>
    </w:p>
    <w:p w14:paraId="276E74D7">
      <w:pPr>
        <w:spacing w:before="160" w:after="160"/>
        <w:ind w:firstLine="640"/>
      </w:pPr>
      <w:r>
        <w:rPr>
          <w:rFonts w:hint="eastAsia"/>
        </w:rPr>
        <w:t>（一）建设项目用地面积在20公顷及以上规模或重要项目需专家论证的，宜先行编制修建性详细规划或城市设计，经批准后作为协调统筹各地块规划设计和开发建设的规划指导。</w:t>
      </w:r>
    </w:p>
    <w:p w14:paraId="29041FEE">
      <w:pPr>
        <w:spacing w:before="160" w:after="160"/>
        <w:ind w:firstLine="640"/>
      </w:pPr>
      <w:r>
        <w:rPr>
          <w:rFonts w:hint="eastAsia"/>
        </w:rPr>
        <w:t>（二）修建性详细规划应当根据控制性详细规划确定建筑总容量控制指标；在不超过修建性详细规划研究范围建筑总容量控制指标的前提下，单个地块建筑容量控制指标可以在科学论证基础上作适当调整。</w:t>
      </w:r>
    </w:p>
    <w:p w14:paraId="2C2C55C4">
      <w:pPr>
        <w:spacing w:before="160" w:after="160"/>
        <w:ind w:firstLine="640"/>
      </w:pPr>
      <w:r>
        <w:rPr>
          <w:rFonts w:hint="eastAsia"/>
        </w:rPr>
        <w:t>（三）建设项目建筑基地未达到以下最小用地面积的，不得单独开发建设：</w:t>
      </w:r>
    </w:p>
    <w:p w14:paraId="6E54559A">
      <w:pPr>
        <w:spacing w:before="160" w:after="160"/>
        <w:ind w:firstLine="640"/>
      </w:pPr>
      <w:r>
        <w:rPr>
          <w:rFonts w:hint="eastAsia"/>
        </w:rPr>
        <w:t>1</w:t>
      </w:r>
      <w:r>
        <w:rPr>
          <w:rFonts w:hint="eastAsia" w:ascii="宋体" w:hAnsi="宋体" w:eastAsia="宋体" w:cs="宋体"/>
        </w:rPr>
        <w:t>.</w:t>
      </w:r>
      <w:r>
        <w:rPr>
          <w:rFonts w:hint="eastAsia"/>
        </w:rPr>
        <w:t>多、低层建筑和工业仓储类建筑为1000平方米。</w:t>
      </w:r>
    </w:p>
    <w:p w14:paraId="4848D5A7">
      <w:pPr>
        <w:spacing w:before="160" w:after="160"/>
        <w:ind w:firstLine="640"/>
      </w:pPr>
      <w:r>
        <w:rPr>
          <w:rFonts w:hint="eastAsia"/>
        </w:rPr>
        <w:t>2</w:t>
      </w:r>
      <w:r>
        <w:rPr>
          <w:rFonts w:hint="eastAsia" w:ascii="宋体" w:hAnsi="宋体" w:eastAsia="宋体" w:cs="宋体"/>
        </w:rPr>
        <w:t>.</w:t>
      </w:r>
      <w:r>
        <w:rPr>
          <w:rFonts w:hint="eastAsia"/>
        </w:rPr>
        <w:t>高层建筑为2000平方米。</w:t>
      </w:r>
    </w:p>
    <w:p w14:paraId="3EF2C9F1">
      <w:pPr>
        <w:spacing w:before="160" w:after="160"/>
        <w:ind w:firstLine="640"/>
      </w:pPr>
      <w:r>
        <w:rPr>
          <w:rFonts w:hint="eastAsia"/>
        </w:rPr>
        <w:t>建筑基地未达到上述规定的最小用地面积，但有以下情况之一，且不影响城乡规划实施的，经城乡规划主管部门审核同意后可以建设：</w:t>
      </w:r>
    </w:p>
    <w:p w14:paraId="0C31D6EC">
      <w:pPr>
        <w:spacing w:before="160" w:after="160"/>
        <w:ind w:firstLine="640"/>
      </w:pPr>
      <w:r>
        <w:rPr>
          <w:rFonts w:hint="eastAsia"/>
        </w:rPr>
        <w:t>1</w:t>
      </w:r>
      <w:r>
        <w:rPr>
          <w:rFonts w:hint="eastAsia" w:ascii="宋体" w:hAnsi="宋体" w:eastAsia="宋体" w:cs="宋体"/>
        </w:rPr>
        <w:t>.</w:t>
      </w:r>
      <w:r>
        <w:rPr>
          <w:rFonts w:hint="eastAsia"/>
        </w:rPr>
        <w:t>邻接土地已经完成建设或者为既成道路、河道，确实无法调整、合并的。</w:t>
      </w:r>
    </w:p>
    <w:p w14:paraId="0EC586E0">
      <w:pPr>
        <w:spacing w:before="160" w:after="160"/>
        <w:ind w:firstLine="640"/>
      </w:pPr>
      <w:r>
        <w:rPr>
          <w:rFonts w:hint="eastAsia"/>
        </w:rPr>
        <w:t>2</w:t>
      </w:r>
      <w:r>
        <w:rPr>
          <w:rFonts w:hint="eastAsia" w:ascii="宋体" w:hAnsi="宋体" w:eastAsia="宋体" w:cs="宋体"/>
        </w:rPr>
        <w:t>.</w:t>
      </w:r>
      <w:r>
        <w:rPr>
          <w:rFonts w:hint="eastAsia"/>
        </w:rPr>
        <w:t>因城乡规划街区划分、市政公共设施等限制，确实无法调整、合并的。</w:t>
      </w:r>
    </w:p>
    <w:p w14:paraId="6FAF2414">
      <w:pPr>
        <w:spacing w:before="160" w:after="160"/>
        <w:ind w:firstLine="640"/>
      </w:pPr>
      <w:r>
        <w:rPr>
          <w:rFonts w:hint="eastAsia"/>
        </w:rPr>
        <w:t>3</w:t>
      </w:r>
      <w:r>
        <w:rPr>
          <w:rFonts w:hint="eastAsia" w:ascii="宋体" w:hAnsi="宋体" w:eastAsia="宋体" w:cs="宋体"/>
        </w:rPr>
        <w:t>.</w:t>
      </w:r>
      <w:r>
        <w:rPr>
          <w:rFonts w:hint="eastAsia"/>
        </w:rPr>
        <w:t>其他情况确实无法调整、合并的。</w:t>
      </w:r>
    </w:p>
    <w:p w14:paraId="3B8C99EB">
      <w:pPr>
        <w:ind w:firstLine="640"/>
      </w:pPr>
      <w:bookmarkStart w:id="21" w:name="_Toc489951331"/>
      <w:r>
        <w:rPr>
          <w:rFonts w:hint="eastAsia"/>
        </w:rPr>
        <w:t>（四）建筑基地短边长度大于等于50米，且新建建筑符合与周边建筑退距要求的，可以单独建设。</w:t>
      </w:r>
    </w:p>
    <w:bookmarkEnd w:id="21"/>
    <w:p w14:paraId="57C280B9">
      <w:pPr>
        <w:pStyle w:val="47"/>
        <w:outlineLvl w:val="1"/>
        <w:rPr>
          <w:rFonts w:hint="default"/>
        </w:rPr>
        <w:sectPr>
          <w:headerReference r:id="rId19" w:type="default"/>
          <w:footerReference r:id="rId21" w:type="default"/>
          <w:headerReference r:id="rId20" w:type="even"/>
          <w:footerReference r:id="rId22" w:type="even"/>
          <w:pgSz w:w="11906" w:h="16838"/>
          <w:pgMar w:top="2098" w:right="1474" w:bottom="1985" w:left="1588" w:header="851" w:footer="992" w:gutter="0"/>
          <w:pgNumType w:fmt="numberInDash" w:start="2"/>
          <w:cols w:space="425" w:num="1"/>
          <w:docGrid w:type="lines" w:linePitch="312" w:charSpace="0"/>
        </w:sectPr>
      </w:pPr>
      <w:bookmarkStart w:id="22" w:name="_Toc10193"/>
      <w:bookmarkStart w:id="23" w:name="_Toc200810615"/>
      <w:r>
        <w:rPr>
          <w:rFonts w:hint="default"/>
        </w:rPr>
        <w:pict>
          <v:shape id="_x0000_s2087" o:spid="_x0000_s2087" o:spt="202" type="#_x0000_t202" style="position:absolute;left:0pt;margin-left:264.6pt;margin-top:-498.35pt;height:100.15pt;width:166.05pt;z-index:251730944;mso-width-relative:page;mso-height-relative:page;" filled="f" stroked="f" coordsize="21600,21600" o:gfxdata="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4V0JN4AAAANAQAADwAAAAAAAAABACAAAAAi&#10;AAAAZHJzL2Rvd25yZXYueG1sUEsBAhQAFAAAAAgAh07iQLxSVXo9AgAAZwQAAA4AAAAAAAAAAQAg&#10;AAAALQEAAGRycy9lMm9Eb2MueG1sUEsFBgAAAAAGAAYAWQEAANwFAAAAAA==&#10;">
            <v:path/>
            <v:fill on="f" focussize="0,0"/>
            <v:stroke on="f" weight="0.5pt" joinstyle="miter"/>
            <v:imagedata o:title=""/>
            <o:lock v:ext="edit"/>
            <v:textbox>
              <w:txbxContent>
                <w:p w14:paraId="3CBFB1AC">
                  <w:pPr>
                    <w:spacing w:line="640" w:lineRule="exact"/>
                    <w:ind w:firstLine="880"/>
                    <w:rPr>
                      <w:rFonts w:ascii="黑体" w:hAnsi="黑体" w:eastAsia="黑体" w:cs="黑体"/>
                      <w:sz w:val="44"/>
                      <w:szCs w:val="36"/>
                    </w:rPr>
                  </w:pPr>
                  <w:r>
                    <w:rPr>
                      <w:rFonts w:hint="eastAsia" w:ascii="黑体" w:hAnsi="黑体" w:eastAsia="黑体" w:cs="黑体"/>
                      <w:sz w:val="44"/>
                      <w:szCs w:val="36"/>
                    </w:rPr>
                    <w:t>第三章</w:t>
                  </w:r>
                </w:p>
                <w:p w14:paraId="2D1A34B0">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建筑工程</w:t>
                  </w:r>
                </w:p>
              </w:txbxContent>
            </v:textbox>
          </v:shape>
        </w:pict>
      </w:r>
      <w:r>
        <w:rPr>
          <w:rFonts w:hint="default"/>
        </w:rPr>
        <w:pict>
          <v:shape id="_x0000_s2086" o:spid="_x0000_s2086" o:spt="100" style="position:absolute;left:0pt;margin-left:432.85pt;margin-top:-700.55pt;height:840.8pt;width:0pt;z-index:251729920;mso-width-relative:page;mso-height-relative:page;" filled="f" stroked="t" coordsize="1,10678160" o:gfxdata="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TOeZbZAAAADQEAAA8AAAAAAAAAAQAgAAAAIgAAAGRycy9kb3ducmV2LnhtbFBLAQIU&#10;ABQAAAAIAIdO4kDf8ihTnQIAANcFAAAOAAAAAAAAAAEAIAAAACgBAABkcnMvZTJvRG9jLnhtbFBL&#10;BQYAAAAABgAGAFkBAAA3BgAAAAA=&#10;" adj=",," path="m0,0l0,10678160e">
            <v:path o:connecttype="segments" o:connectlocs="@0,0;@0,10678160" o:connectangles="0,0"/>
            <v:fill on="f" focussize="0,0"/>
            <v:stroke weight="2pt" color="#2E75B6" joinstyle="miter"/>
            <v:imagedata o:title=""/>
            <o:lock v:ext="edit"/>
          </v:shape>
        </w:pict>
      </w:r>
      <w:r>
        <w:rPr>
          <w:rFonts w:hint="default"/>
        </w:rPr>
        <w:pict>
          <v:shape id="_x0000_s2085" o:spid="_x0000_s2085" o:spt="100" style="position:absolute;left:0pt;margin-left:263.5pt;margin-top:-460.5pt;height:0pt;width:169.8pt;z-index:251731968;mso-width-relative:page;mso-height-relative:page;" filled="f" stroked="t" coordsize="2156460,1" o:gfxdata="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Tkyr/2QAAAA0BAAAPAAAAAAAAAAEAIAAAACIAAABkcnMvZG93bnJldi54bWxQSwEC&#10;FAAUAAAACACHTuJA14SI254CAADTBQAADgAAAAAAAAABACAAAAAo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84" o:spid="_x0000_s2084" o:spt="1" style="position:absolute;left:0pt;margin-left:-78.95pt;margin-top:-422.6pt;height:23.4pt;width:595.3pt;z-index:251728896;v-text-anchor:middle;mso-width-relative:page;mso-height-relative:page;" fillcolor="#BDD7EE" filled="t" stroked="f" coordsize="21600,21600" o:gfxdata="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tMQtW3AAAAA8BAAAP&#10;AAAAAAAAAAEAIAAAACIAAABkcnMvZG93bnJldi54bWxQSwECFAAUAAAACACHTuJAQnQL74YCAAAG&#10;BQAADgAAAAAAAAABACAAAAArAQAAZHJzL2Uyb0RvYy54bWxQSwUGAAAAAAYABgBZAQAAIwYAAAAA&#10;">
            <v:path/>
            <v:fill on="t" focussize="0,0"/>
            <v:stroke on="f" weight="1pt"/>
            <v:imagedata o:title=""/>
            <o:lock v:ext="edit"/>
          </v:rect>
        </w:pict>
      </w:r>
      <w:r>
        <w:rPr>
          <w:bCs w:val="0"/>
        </w:rPr>
        <w:drawing>
          <wp:inline distT="0" distB="0" distL="0" distR="0">
            <wp:extent cx="5615940" cy="604520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0"/>
                    <a:srcRect/>
                    <a:stretch>
                      <a:fillRect/>
                    </a:stretch>
                  </pic:blipFill>
                  <pic:spPr>
                    <a:xfrm>
                      <a:off x="0" y="0"/>
                      <a:ext cx="5615940" cy="6045229"/>
                    </a:xfrm>
                    <a:prstGeom prst="rect">
                      <a:avLst/>
                    </a:prstGeom>
                    <a:noFill/>
                    <a:ln w="9525">
                      <a:noFill/>
                      <a:miter lim="800000"/>
                      <a:headEnd/>
                      <a:tailEnd/>
                    </a:ln>
                  </pic:spPr>
                </pic:pic>
              </a:graphicData>
            </a:graphic>
          </wp:inline>
        </w:drawing>
      </w:r>
      <w:r>
        <w:rPr>
          <w:rFonts w:hint="default"/>
        </w:rPr>
        <w:pict>
          <v:rect id="_x0000_s2083" o:spid="_x0000_s2083" o:spt="1" style="position:absolute;left:0pt;margin-top:0pt;height:1467.05pt;width:596pt;mso-position-horizontal:left;mso-position-horizontal-relative:page;mso-wrap-distance-bottom:0pt;mso-wrap-distance-left:9pt;mso-wrap-distance-right:9pt;mso-wrap-distance-top:0pt;z-index:251671552;v-text-anchor:middle;mso-width-relative:page;mso-height-relative:page;" fillcolor="#DEEBF7" filled="t" stroked="f" coordsize="21600,21600" o:gfxdata="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9JJxi0wAAAAcBAAAPAAAAAAAA&#10;AAEAIAAAACIAAABkcnMvZG93bnJldi54bWxQSwECFAAUAAAACACHTuJAecHoqYkCAAAIBQAADgAA&#10;AAAAAAABACAAAAAiAQAAZHJzL2Uyb0RvYy54bWxQSwUGAAAAAAYABgBZAQAAHQYAAAAA&#10;">
            <v:path/>
            <v:fill on="t" focussize="0,0"/>
            <v:stroke on="f" weight="1pt"/>
            <v:imagedata o:title=""/>
            <o:lock v:ext="edit"/>
            <w10:wrap type="square"/>
          </v:rect>
        </w:pict>
      </w:r>
      <w:r>
        <w:rPr>
          <w:rFonts w:hint="default"/>
        </w:rPr>
        <w:pict>
          <v:shape id="_x0000_s2082" o:spid="_x0000_s2082" o:spt="100" style="position:absolute;left:0pt;margin-left:263.5pt;margin-top:135.5pt;height:0pt;width:169.8pt;z-index:251674624;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m+9am2AAAAAsBAAAPAAAAAAAAAAEAIAAAACIAAABkcnMvZG93bnJldi54bWxQSwEC&#10;FAAUAAAACACHTuJAIQJLb58CAADTBQAADgAAAAAAAAABACAAAAAn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81" o:spid="_x0000_s2081" o:spt="1" style="position:absolute;left:0pt;margin-left:-78.95pt;margin-top:173.4pt;height:23.4pt;width:595.3pt;z-index:251672576;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TtvwRY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eES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TtvwRYcCAAAG&#10;BQAADgAAAAAAAAABACAAAAAqAQAAZHJzL2Uyb0RvYy54bWxQSwUGAAAAAAYABgBZAQAAIwYAAAAA&#10;">
            <v:path/>
            <v:fill on="t" focussize="0,0"/>
            <v:stroke on="f" weight="1pt"/>
            <v:imagedata o:title=""/>
            <o:lock v:ext="edit"/>
          </v:rect>
        </w:pict>
      </w:r>
      <w:bookmarkEnd w:id="22"/>
      <w:bookmarkEnd w:id="23"/>
      <w:bookmarkStart w:id="24" w:name="_Toc1378"/>
    </w:p>
    <w:p w14:paraId="2626A05B">
      <w:pPr>
        <w:pStyle w:val="47"/>
        <w:jc w:val="center"/>
        <w:rPr>
          <w:rFonts w:hint="default"/>
          <w:sz w:val="36"/>
          <w:szCs w:val="28"/>
        </w:rPr>
      </w:pPr>
      <w:bookmarkStart w:id="25" w:name="_Toc30801"/>
      <w:bookmarkStart w:id="26" w:name="_Toc8638"/>
      <w:bookmarkStart w:id="27" w:name="_Toc24362"/>
      <w:r>
        <w:rPr>
          <w:sz w:val="36"/>
          <w:szCs w:val="28"/>
        </w:rPr>
        <w:t>第三章 建筑工程</w:t>
      </w:r>
      <w:bookmarkEnd w:id="25"/>
      <w:bookmarkEnd w:id="26"/>
      <w:bookmarkEnd w:id="27"/>
    </w:p>
    <w:p w14:paraId="62A3B40D">
      <w:pPr>
        <w:pStyle w:val="47"/>
        <w:ind w:firstLine="640" w:firstLineChars="200"/>
        <w:outlineLvl w:val="1"/>
        <w:rPr>
          <w:rFonts w:hint="default"/>
        </w:rPr>
      </w:pPr>
      <w:bookmarkStart w:id="28" w:name="_Toc17944"/>
      <w:bookmarkStart w:id="29" w:name="_Toc18987"/>
      <w:bookmarkStart w:id="30" w:name="_Toc23141"/>
      <w:bookmarkStart w:id="31" w:name="_Toc17510"/>
      <w:r>
        <w:t>一、建筑间距</w:t>
      </w:r>
      <w:bookmarkEnd w:id="28"/>
    </w:p>
    <w:p w14:paraId="22B1A381">
      <w:pPr>
        <w:spacing w:before="160" w:after="160"/>
        <w:ind w:firstLine="640"/>
      </w:pPr>
      <w:r>
        <w:rPr>
          <w:rFonts w:hint="eastAsia"/>
        </w:rPr>
        <w:t>（一）建筑间距应当依据本市日照条件、建筑物朝向、建筑属性以及相邻建筑之间的相互关系，按照日照、采光、通风、消防、防灾、管线埋设、空间环境、建筑保护、视觉卫生等要求确定。</w:t>
      </w:r>
    </w:p>
    <w:p w14:paraId="09A19C0A">
      <w:pPr>
        <w:spacing w:before="160" w:after="160"/>
        <w:ind w:firstLine="640"/>
      </w:pPr>
      <w:r>
        <w:rPr>
          <w:rFonts w:hint="eastAsia"/>
        </w:rPr>
        <w:t>（二）多、低层住宅建筑的间距，应当符合以下间距控制要求：</w:t>
      </w:r>
    </w:p>
    <w:p w14:paraId="679B5DDE">
      <w:pPr>
        <w:ind w:firstLine="640"/>
      </w:pPr>
      <w:r>
        <w:rPr>
          <w:rFonts w:hint="eastAsia"/>
        </w:rPr>
        <w:t>1</w:t>
      </w:r>
      <w:r>
        <w:rPr>
          <w:rFonts w:hint="eastAsia" w:ascii="宋体" w:hAnsi="宋体" w:eastAsia="宋体" w:cs="宋体"/>
        </w:rPr>
        <w:t>.</w:t>
      </w:r>
      <w:r>
        <w:rPr>
          <w:rFonts w:hint="eastAsia"/>
        </w:rPr>
        <w:t>住宅建筑平行布置时的间距控制：</w:t>
      </w:r>
    </w:p>
    <w:p w14:paraId="03D35F65">
      <w:pPr>
        <w:ind w:firstLine="640"/>
      </w:pPr>
      <w:r>
        <w:rPr>
          <w:rFonts w:hint="eastAsia"/>
        </w:rPr>
        <w:t>（1）正南北朝向的建筑，其间距在旧区应不小于南侧建筑高度的0.9倍，在新区应不小于1.05倍。</w:t>
      </w:r>
    </w:p>
    <w:p w14:paraId="4785A689">
      <w:pPr>
        <w:ind w:firstLine="640"/>
      </w:pPr>
      <w:r>
        <w:rPr>
          <w:rFonts w:hint="eastAsia"/>
        </w:rPr>
        <w:t>（2）正东西朝向的建筑，其间距在旧区应不小于较高建筑高度的0.8倍，在新区应不小于1倍。</w:t>
      </w:r>
    </w:p>
    <w:p w14:paraId="63A1E944">
      <w:pPr>
        <w:spacing w:before="160" w:after="160"/>
        <w:ind w:firstLine="640"/>
      </w:pPr>
      <w:r>
        <w:rPr>
          <w:rFonts w:hint="eastAsia"/>
        </w:rPr>
        <w:t xml:space="preserve">（3）南北向平行布置的低层住宅建筑之间的最小间距为6米，低层住宅建筑与其北侧多层住宅建筑的最小间距为9米。  </w:t>
      </w:r>
    </w:p>
    <w:p w14:paraId="489D7D9C">
      <w:pPr>
        <w:ind w:firstLine="640"/>
      </w:pPr>
      <w:r>
        <w:rPr>
          <w:rFonts w:hint="eastAsia"/>
        </w:rPr>
        <w:t>2</w:t>
      </w:r>
      <w:r>
        <w:rPr>
          <w:rFonts w:hint="eastAsia" w:ascii="宋体" w:hAnsi="宋体" w:eastAsia="宋体" w:cs="宋体"/>
        </w:rPr>
        <w:t>.</w:t>
      </w:r>
      <w:r>
        <w:rPr>
          <w:rFonts w:hint="eastAsia"/>
        </w:rPr>
        <w:t>住宅建筑垂直布置时的间距控制：</w:t>
      </w:r>
    </w:p>
    <w:p w14:paraId="581FDC9A">
      <w:pPr>
        <w:ind w:firstLine="640"/>
      </w:pPr>
      <w:r>
        <w:rPr>
          <w:rFonts w:hint="eastAsia"/>
        </w:rPr>
        <w:t>（1）垂直布置的住宅建筑，其山墙宽度小于等于20米的，在旧区建筑南北向间距应不小于南侧建筑高度的0.7倍，在新区应不小于南侧建筑高度的0.85倍，且应不小于6米；在旧区建筑东西向间距应不小于较高建筑高度的0.65倍，在新区应不小于0.8倍，且应不小于6米。</w:t>
      </w:r>
    </w:p>
    <w:p w14:paraId="0FC89E68">
      <w:pPr>
        <w:ind w:firstLine="640"/>
      </w:pPr>
      <w:r>
        <w:rPr>
          <w:rFonts w:hint="eastAsia"/>
        </w:rPr>
        <w:t>（2）建筑山墙宽度大于20米的（点式建筑单面山墙宽度总和大于25米的），其间距按照平行布置的住宅建筑控制。</w:t>
      </w:r>
    </w:p>
    <w:p w14:paraId="682D1E1B">
      <w:pPr>
        <w:ind w:firstLine="640"/>
        <w:rPr>
          <w:strike/>
        </w:rPr>
      </w:pPr>
      <w:r>
        <w:rPr>
          <w:rFonts w:hint="eastAsia"/>
        </w:rPr>
        <w:t>3</w:t>
      </w:r>
      <w:r>
        <w:rPr>
          <w:rFonts w:hint="eastAsia" w:ascii="宋体" w:hAnsi="宋体" w:eastAsia="宋体" w:cs="宋体"/>
        </w:rPr>
        <w:t>.</w:t>
      </w:r>
      <w:r>
        <w:rPr>
          <w:rFonts w:hint="eastAsia"/>
        </w:rPr>
        <w:t>多层住宅建筑的山墙间距在旧区应不小于相邻较高建筑高度的0.35倍，同时应不小于6米。在新区应不小于相邻较高建筑高度的0.45倍，同时应不小于7米；低层住宅建筑的山墙间距应不小于4米。</w:t>
      </w:r>
    </w:p>
    <w:p w14:paraId="5D443F15">
      <w:pPr>
        <w:spacing w:before="160"/>
        <w:ind w:firstLine="640"/>
      </w:pPr>
      <w:r>
        <w:rPr>
          <w:rFonts w:hint="eastAsia"/>
        </w:rPr>
        <w:t>（三）高层住宅建筑与高、多、低层住宅建筑的间距，应当符合以下要求：</w:t>
      </w:r>
    </w:p>
    <w:p w14:paraId="449ADAD9">
      <w:pPr>
        <w:ind w:firstLine="640"/>
      </w:pPr>
      <w:r>
        <w:rPr>
          <w:rFonts w:hint="eastAsia"/>
        </w:rPr>
        <w:t>1</w:t>
      </w:r>
      <w:r>
        <w:rPr>
          <w:rFonts w:hint="eastAsia" w:ascii="宋体" w:hAnsi="宋体" w:eastAsia="宋体" w:cs="宋体"/>
        </w:rPr>
        <w:t>.</w:t>
      </w:r>
      <w:r>
        <w:rPr>
          <w:rFonts w:hint="eastAsia"/>
        </w:rPr>
        <w:t>高层住宅建筑与高层住宅建筑平行布置时的间距规定。</w:t>
      </w:r>
    </w:p>
    <w:p w14:paraId="2C9E91E6">
      <w:pPr>
        <w:ind w:firstLine="640"/>
      </w:pPr>
      <w:r>
        <w:rPr>
          <w:rFonts w:hint="eastAsia"/>
        </w:rPr>
        <w:t>（1）建筑高度小于等于60米的南北向高层住宅建筑，其间距应不小于按照下式计算的规定值：</w:t>
      </w:r>
    </w:p>
    <w:p w14:paraId="6E467BCA">
      <w:pPr>
        <w:ind w:firstLine="640"/>
      </w:pPr>
      <w:r>
        <w:rPr>
          <w:rFonts w:hint="eastAsia"/>
        </w:rPr>
        <w:t>新区：24×1.05+（南侧住宅</w:t>
      </w:r>
      <w:r>
        <w:rPr>
          <w:rFonts w:hint="eastAsia"/>
          <w:lang w:eastAsia="zh-CN"/>
        </w:rPr>
        <w:t>建筑</w:t>
      </w:r>
      <w:r>
        <w:rPr>
          <w:rFonts w:hint="eastAsia"/>
        </w:rPr>
        <w:t>高度－24）×0.4</w:t>
      </w:r>
    </w:p>
    <w:p w14:paraId="478F0F44">
      <w:pPr>
        <w:ind w:firstLine="640"/>
      </w:pPr>
      <w:r>
        <w:rPr>
          <w:rFonts w:hint="eastAsia"/>
        </w:rPr>
        <w:t>旧区：24×0.9+（南侧住宅</w:t>
      </w:r>
      <w:r>
        <w:rPr>
          <w:rFonts w:hint="eastAsia"/>
          <w:lang w:eastAsia="zh-CN"/>
        </w:rPr>
        <w:t>建筑</w:t>
      </w:r>
      <w:r>
        <w:rPr>
          <w:rFonts w:hint="eastAsia"/>
        </w:rPr>
        <w:t>高度－24）×0.35</w:t>
      </w:r>
    </w:p>
    <w:p w14:paraId="1167BECE">
      <w:pPr>
        <w:ind w:firstLine="640"/>
      </w:pPr>
      <w:r>
        <w:rPr>
          <w:rFonts w:hint="eastAsia"/>
        </w:rPr>
        <w:t>建筑高度大于60米小于等于100米的部分，其高度每增加5米，间距增加1米；高度大于100米小于等于150米的部分，其高度每增加5米，间距增加0.8米；高度大于150米的部分，不再计算建筑间距。</w:t>
      </w:r>
    </w:p>
    <w:p w14:paraId="3E2FD89D">
      <w:pPr>
        <w:ind w:firstLine="640"/>
      </w:pPr>
      <w:r>
        <w:rPr>
          <w:rFonts w:hint="eastAsia"/>
        </w:rPr>
        <w:t>（2）建筑高度小于等于60米的东西向的高层住宅建筑，其间距应不小于按照下式计算的规定值：</w:t>
      </w:r>
    </w:p>
    <w:p w14:paraId="1420B208">
      <w:pPr>
        <w:ind w:firstLine="640"/>
      </w:pPr>
      <w:r>
        <w:rPr>
          <w:rFonts w:hint="eastAsia"/>
        </w:rPr>
        <w:t>新区：24×1+（较高住宅</w:t>
      </w:r>
      <w:r>
        <w:rPr>
          <w:rFonts w:hint="eastAsia"/>
          <w:lang w:eastAsia="zh-CN"/>
        </w:rPr>
        <w:t>建筑</w:t>
      </w:r>
      <w:r>
        <w:rPr>
          <w:rFonts w:hint="eastAsia"/>
        </w:rPr>
        <w:t>高度－24）×0.25</w:t>
      </w:r>
    </w:p>
    <w:p w14:paraId="259207B6">
      <w:pPr>
        <w:ind w:firstLine="640"/>
      </w:pPr>
      <w:r>
        <w:rPr>
          <w:rFonts w:hint="eastAsia"/>
        </w:rPr>
        <w:t>旧区：24×0.8+（较高住宅</w:t>
      </w:r>
      <w:r>
        <w:rPr>
          <w:rFonts w:hint="eastAsia"/>
          <w:lang w:eastAsia="zh-CN"/>
        </w:rPr>
        <w:t>建筑</w:t>
      </w:r>
      <w:r>
        <w:rPr>
          <w:rFonts w:hint="eastAsia"/>
        </w:rPr>
        <w:t>高度－24）×0.2</w:t>
      </w:r>
    </w:p>
    <w:p w14:paraId="1098FFD6">
      <w:pPr>
        <w:ind w:firstLine="640"/>
      </w:pPr>
      <w:r>
        <w:rPr>
          <w:rFonts w:hint="eastAsia"/>
        </w:rPr>
        <w:t>建筑高度大于60米小于等于100米的部分，其高度每增加5米，间距增加0.8米；高度大于100米小于等于150米的部分，其高度每增加5米，间距增加0.5米；高度大于150米的部分，不再计算建筑间距。</w:t>
      </w:r>
    </w:p>
    <w:p w14:paraId="0D038D00">
      <w:pPr>
        <w:ind w:firstLine="640"/>
      </w:pPr>
      <w:r>
        <w:rPr>
          <w:rFonts w:hint="eastAsia"/>
        </w:rPr>
        <w:t>2</w:t>
      </w:r>
      <w:r>
        <w:rPr>
          <w:rFonts w:hint="eastAsia" w:ascii="宋体" w:hAnsi="宋体" w:eastAsia="宋体" w:cs="宋体"/>
        </w:rPr>
        <w:t>.</w:t>
      </w:r>
      <w:r>
        <w:rPr>
          <w:rFonts w:hint="eastAsia"/>
        </w:rPr>
        <w:t>高层住宅建筑与多、低层住宅建筑平行布置时的间距技术规定：</w:t>
      </w:r>
    </w:p>
    <w:p w14:paraId="52413D0C">
      <w:pPr>
        <w:ind w:firstLine="640"/>
      </w:pPr>
      <w:r>
        <w:rPr>
          <w:rFonts w:hint="eastAsia"/>
        </w:rPr>
        <w:t>（1）高层住宅建筑位于南侧的，与其北侧多、低层住宅建筑的间距应按照南侧高层住宅建筑高度控制。</w:t>
      </w:r>
    </w:p>
    <w:p w14:paraId="25D1FFAC">
      <w:pPr>
        <w:ind w:firstLine="640"/>
      </w:pPr>
      <w:r>
        <w:rPr>
          <w:rFonts w:hint="eastAsia"/>
        </w:rPr>
        <w:t>（1）建筑高度小于等于60米的高层住宅建筑与其东（西）侧多、低层住宅建筑的间距应不小于按照下式计算的规定值：</w:t>
      </w:r>
    </w:p>
    <w:p w14:paraId="3BFC21E5">
      <w:pPr>
        <w:ind w:firstLine="640"/>
      </w:pPr>
      <w:r>
        <w:rPr>
          <w:rFonts w:hint="eastAsia"/>
        </w:rPr>
        <w:t>新区：24×1+（较高住宅</w:t>
      </w:r>
      <w:r>
        <w:rPr>
          <w:rFonts w:hint="eastAsia"/>
          <w:lang w:eastAsia="zh-CN"/>
        </w:rPr>
        <w:t>建筑</w:t>
      </w:r>
      <w:r>
        <w:rPr>
          <w:rFonts w:hint="eastAsia"/>
        </w:rPr>
        <w:t>高度－24）×0.2</w:t>
      </w:r>
    </w:p>
    <w:p w14:paraId="5AA26CE5">
      <w:pPr>
        <w:ind w:firstLine="640"/>
      </w:pPr>
      <w:r>
        <w:rPr>
          <w:rFonts w:hint="eastAsia"/>
        </w:rPr>
        <w:t>旧区：24×0.8+（较高住宅</w:t>
      </w:r>
      <w:r>
        <w:rPr>
          <w:rFonts w:hint="eastAsia"/>
          <w:lang w:eastAsia="zh-CN"/>
        </w:rPr>
        <w:t>建筑</w:t>
      </w:r>
      <w:r>
        <w:rPr>
          <w:rFonts w:hint="eastAsia"/>
        </w:rPr>
        <w:t>高度－24）×0.15</w:t>
      </w:r>
    </w:p>
    <w:p w14:paraId="309629E0">
      <w:pPr>
        <w:ind w:firstLine="640"/>
      </w:pPr>
      <w:r>
        <w:rPr>
          <w:rFonts w:hint="eastAsia"/>
        </w:rPr>
        <w:t>高层住宅建筑高度大于60米小于等于100米的部分，其高度每增加5米，间距增加0.4米；大于100米小于等于150米的部分，其高度每增加5米，间距增加0.3米；高度大于150米的部分，不再计算建筑间距。</w:t>
      </w:r>
    </w:p>
    <w:p w14:paraId="4AB40EC2">
      <w:pPr>
        <w:ind w:firstLine="640"/>
      </w:pPr>
      <w:r>
        <w:rPr>
          <w:rFonts w:hint="eastAsia"/>
        </w:rPr>
        <w:t>（3）高层住宅建筑位于北侧的，其间距按照南侧多、低层建筑控制。但是，最小间距旧区应不小于13米，新区应不小于15米。</w:t>
      </w:r>
    </w:p>
    <w:p w14:paraId="389DF54E">
      <w:pPr>
        <w:ind w:firstLine="640"/>
      </w:pPr>
      <w:r>
        <w:rPr>
          <w:rFonts w:hint="eastAsia"/>
        </w:rPr>
        <w:t>3</w:t>
      </w:r>
      <w:r>
        <w:rPr>
          <w:rFonts w:hint="eastAsia" w:ascii="宋体" w:hAnsi="宋体" w:eastAsia="宋体" w:cs="宋体"/>
        </w:rPr>
        <w:t>.</w:t>
      </w:r>
      <w:r>
        <w:rPr>
          <w:rFonts w:hint="eastAsia"/>
        </w:rPr>
        <w:t>高层住宅建筑与多、低层住宅建筑垂直布置的，其间距为各自计算间距控制值的一半之和且不小于13米；高层住宅建筑与高层住宅建筑垂直布置的，其间距为各自计算间距控制值的一半之和且不小于15米。</w:t>
      </w:r>
    </w:p>
    <w:p w14:paraId="45DA1FA9">
      <w:pPr>
        <w:ind w:firstLine="640"/>
      </w:pPr>
      <w:r>
        <w:rPr>
          <w:rFonts w:hint="eastAsia"/>
        </w:rPr>
        <w:t>4</w:t>
      </w:r>
      <w:r>
        <w:rPr>
          <w:rFonts w:hint="eastAsia" w:ascii="宋体" w:hAnsi="宋体" w:eastAsia="宋体" w:cs="宋体"/>
        </w:rPr>
        <w:t>.</w:t>
      </w:r>
      <w:r>
        <w:rPr>
          <w:rFonts w:hint="eastAsia"/>
        </w:rPr>
        <w:t>小于等于60米高层住宅建筑与高、多、低层住宅建筑的山墙间距，其间距应不小于建筑</w:t>
      </w:r>
      <w:r>
        <w:rPr>
          <w:rFonts w:hint="eastAsia"/>
          <w:lang w:eastAsia="zh-CN"/>
        </w:rPr>
        <w:t>山墙</w:t>
      </w:r>
      <w:r>
        <w:rPr>
          <w:rFonts w:hint="eastAsia"/>
        </w:rPr>
        <w:t>宽度，且应不小于13米；大于60米的高层住宅建筑与高、多、低层住宅建筑的山墙间距，应当按照本条第1、2项高层住宅建筑平行布置的间距计算，其间距可以在平行间距计算的基础上折减30%。</w:t>
      </w:r>
    </w:p>
    <w:p w14:paraId="784E034C">
      <w:pPr>
        <w:ind w:firstLine="640"/>
      </w:pPr>
      <w:r>
        <w:rPr>
          <w:rFonts w:hint="eastAsia"/>
        </w:rPr>
        <w:t>5</w:t>
      </w:r>
      <w:r>
        <w:rPr>
          <w:rFonts w:hint="eastAsia" w:ascii="宋体" w:hAnsi="宋体" w:eastAsia="宋体" w:cs="宋体"/>
        </w:rPr>
        <w:t>.</w:t>
      </w:r>
      <w:r>
        <w:rPr>
          <w:rFonts w:hint="eastAsia"/>
        </w:rPr>
        <w:t>高层住宅主要朝向建筑长度原则上不得大于60米，建筑高度原则上不得大于80米，如城中村改造、老旧小区改造等城市更新项目受场地限制等因素确需突破上述控制值的，还应结合三维景观分析、日照采光分析等进一步论证并合理确定建筑间距控制要求。</w:t>
      </w:r>
    </w:p>
    <w:p w14:paraId="20D65A65">
      <w:pPr>
        <w:ind w:firstLine="640"/>
      </w:pPr>
      <w:r>
        <w:rPr>
          <w:rFonts w:hint="eastAsia"/>
        </w:rPr>
        <w:t>（四）住宅建筑底层有其他非住宅用房的，其上部住宅用房间距计算原则上不扣除底层高度（高层住宅设置在同一裙楼上的情形除外）。</w:t>
      </w:r>
    </w:p>
    <w:p w14:paraId="27B21A34">
      <w:pPr>
        <w:ind w:firstLine="640"/>
      </w:pPr>
      <w:r>
        <w:rPr>
          <w:rFonts w:hint="eastAsia"/>
        </w:rPr>
        <w:t>（五）山墙面上一般不得开窗、挑阳台，仅考虑设置透气高窗，且窗洞尺寸不大于0.6米×0.6米。山墙窗洞为卧室、客厅、餐厅等主要居室窗户的，或山墙宽度大于20米、点式建筑山墙宽度总和大于25米的，不适用前项规定的山墙间距，应当按照建筑主要朝向控制建筑间距。</w:t>
      </w:r>
    </w:p>
    <w:p w14:paraId="1EAA95F1">
      <w:pPr>
        <w:spacing w:before="160"/>
        <w:ind w:firstLine="640"/>
      </w:pPr>
      <w:r>
        <w:rPr>
          <w:rFonts w:hint="eastAsia"/>
        </w:rPr>
        <w:t>（六）当住宅建筑为非正南北向布置的，可以根据正南北布置的建筑间距计算的基础上按照以下要求进行适当折减。</w:t>
      </w:r>
    </w:p>
    <w:p w14:paraId="3214AD91">
      <w:pPr>
        <w:ind w:firstLine="640"/>
      </w:pPr>
      <w:r>
        <w:rPr>
          <w:rFonts w:hint="eastAsia"/>
        </w:rPr>
        <w:t>1</w:t>
      </w:r>
      <w:r>
        <w:rPr>
          <w:rFonts w:hint="eastAsia" w:ascii="宋体" w:hAnsi="宋体" w:eastAsia="宋体" w:cs="宋体"/>
        </w:rPr>
        <w:t>.</w:t>
      </w:r>
      <w:r>
        <w:rPr>
          <w:rFonts w:hint="eastAsia"/>
        </w:rPr>
        <w:t>在建筑平行布置存在朝向偏移的情况下，南偏东（西）大于15度小于等于30度按照南北朝向的0.9倍折减；大于30度小于等于45度按照南北朝向的0.8倍折减；大于45度小于等于60度按照东西朝向的0.8倍折减；60度以上按照东西朝向的0.9倍折减。</w:t>
      </w:r>
    </w:p>
    <w:p w14:paraId="7464FF67">
      <w:pPr>
        <w:pStyle w:val="33"/>
        <w:spacing w:line="240" w:lineRule="auto"/>
        <w:ind w:firstLine="0" w:firstLineChars="0"/>
      </w:pPr>
    </w:p>
    <w:p w14:paraId="6BA70430">
      <w:pPr>
        <w:spacing w:line="240" w:lineRule="auto"/>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614670" cy="1422400"/>
            <wp:effectExtent l="0" t="0" r="5080" b="6350"/>
            <wp:docPr id="13" name="图片 13" descr="eb46b74635f9847d9182efbf492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b46b74635f9847d9182efbf4927562"/>
                    <pic:cNvPicPr>
                      <a:picLocks noChangeAspect="1"/>
                    </pic:cNvPicPr>
                  </pic:nvPicPr>
                  <pic:blipFill>
                    <a:blip r:embed="rId41"/>
                    <a:stretch>
                      <a:fillRect/>
                    </a:stretch>
                  </pic:blipFill>
                  <pic:spPr>
                    <a:xfrm>
                      <a:off x="0" y="0"/>
                      <a:ext cx="5614670" cy="1422400"/>
                    </a:xfrm>
                    <a:prstGeom prst="rect">
                      <a:avLst/>
                    </a:prstGeom>
                  </pic:spPr>
                </pic:pic>
              </a:graphicData>
            </a:graphic>
          </wp:inline>
        </w:drawing>
      </w:r>
    </w:p>
    <w:p w14:paraId="53958BDB">
      <w:pPr>
        <w:pStyle w:val="51"/>
        <w:spacing w:afterLines="100"/>
        <w:jc w:val="both"/>
        <w:rPr>
          <w:rFonts w:hint="default"/>
          <w:sz w:val="24"/>
          <w:szCs w:val="20"/>
        </w:rPr>
      </w:pPr>
      <w:r>
        <w:rPr>
          <w:sz w:val="24"/>
          <w:szCs w:val="20"/>
        </w:rPr>
        <w:t>15＜偏移度≤30度    30＜偏移度≤45度    45＜偏移度≤60度      60度以上</w:t>
      </w:r>
    </w:p>
    <w:p w14:paraId="4A35F1A0">
      <w:pPr>
        <w:ind w:firstLine="640"/>
      </w:pPr>
      <w:r>
        <w:rPr>
          <w:rFonts w:hint="eastAsia"/>
        </w:rPr>
        <w:t>2</w:t>
      </w:r>
      <w:r>
        <w:rPr>
          <w:rFonts w:hint="eastAsia" w:ascii="宋体" w:hAnsi="宋体" w:eastAsia="宋体" w:cs="宋体"/>
        </w:rPr>
        <w:t>.</w:t>
      </w:r>
      <w:r>
        <w:rPr>
          <w:rFonts w:hint="eastAsia"/>
        </w:rPr>
        <w:t>住宅建筑既非平行也非垂直布置时的间距，应当符合以下要求：</w:t>
      </w:r>
    </w:p>
    <w:p w14:paraId="0A8A504E">
      <w:pPr>
        <w:ind w:firstLine="640"/>
      </w:pPr>
      <w:r>
        <w:rPr>
          <w:rFonts w:hint="eastAsia"/>
        </w:rPr>
        <w:t>（1）当两幢建筑的夹角小于等于30度的，其最窄处间距按照平行布置的住宅建筑控制。</w:t>
      </w:r>
    </w:p>
    <w:p w14:paraId="17A2F308">
      <w:pPr>
        <w:ind w:firstLine="640"/>
      </w:pPr>
      <w:r>
        <w:rPr>
          <w:rFonts w:hint="eastAsia"/>
        </w:rPr>
        <w:t>（2）当两幢建筑夹角大于30度小于等于60度的，其最窄处间距按照平行布置计算控制标准乘0.8倍折减。</w:t>
      </w:r>
    </w:p>
    <w:p w14:paraId="589ECD3F">
      <w:pPr>
        <w:ind w:firstLine="640"/>
      </w:pPr>
      <w:r>
        <w:rPr>
          <w:rFonts w:hint="eastAsia"/>
        </w:rPr>
        <w:t>（3）当两幢建筑的夹角大于60度的，其最窄处间距按照垂直布置的住宅建筑控制。</w:t>
      </w:r>
    </w:p>
    <w:p w14:paraId="057BB3EB">
      <w:pPr>
        <w:ind w:firstLine="640"/>
      </w:pPr>
    </w:p>
    <w:p w14:paraId="1C5DAAD9">
      <w:pPr>
        <w:spacing w:line="240" w:lineRule="auto"/>
        <w:ind w:firstLine="0" w:firstLineChars="0"/>
        <w:jc w:val="center"/>
      </w:pPr>
      <w:r>
        <w:rPr>
          <w:rFonts w:hint="eastAsia"/>
        </w:rPr>
        <w:drawing>
          <wp:inline distT="0" distB="0" distL="114300" distR="114300">
            <wp:extent cx="1457960" cy="1576070"/>
            <wp:effectExtent l="0" t="0" r="8890" b="5080"/>
            <wp:docPr id="14" name="图片 14" descr="728950609c63a3f8c7578c5a43d1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28950609c63a3f8c7578c5a43d17e9"/>
                    <pic:cNvPicPr>
                      <a:picLocks noChangeAspect="1"/>
                    </pic:cNvPicPr>
                  </pic:nvPicPr>
                  <pic:blipFill>
                    <a:blip r:embed="rId42"/>
                    <a:stretch>
                      <a:fillRect/>
                    </a:stretch>
                  </pic:blipFill>
                  <pic:spPr>
                    <a:xfrm>
                      <a:off x="0" y="0"/>
                      <a:ext cx="1457960" cy="1576070"/>
                    </a:xfrm>
                    <a:prstGeom prst="rect">
                      <a:avLst/>
                    </a:prstGeom>
                  </pic:spPr>
                </pic:pic>
              </a:graphicData>
            </a:graphic>
          </wp:inline>
        </w:drawing>
      </w:r>
    </w:p>
    <w:p w14:paraId="64420735">
      <w:pPr>
        <w:pStyle w:val="51"/>
        <w:spacing w:afterLines="100"/>
        <w:rPr>
          <w:rFonts w:hint="default"/>
          <w:sz w:val="24"/>
          <w:szCs w:val="20"/>
        </w:rPr>
      </w:pPr>
      <w:r>
        <w:rPr>
          <w:sz w:val="24"/>
          <w:szCs w:val="20"/>
        </w:rPr>
        <w:t>两幢建筑夹角</w:t>
      </w:r>
    </w:p>
    <w:p w14:paraId="0017944C">
      <w:pPr>
        <w:spacing w:before="160" w:after="160"/>
        <w:ind w:firstLine="640"/>
      </w:pPr>
      <w:r>
        <w:rPr>
          <w:rFonts w:hint="eastAsia"/>
        </w:rPr>
        <w:t>（七）在城市旧区实施局部更新改造的城市更新项目，确因地形、环境等条件限制难以满足上述住宅建筑间距规定的，有关高层住宅建筑与处于其日照遮挡范围内的住宅建筑的间距可以通过日照分析确定。</w:t>
      </w:r>
    </w:p>
    <w:p w14:paraId="6735489B">
      <w:pPr>
        <w:spacing w:before="160" w:after="160"/>
        <w:ind w:firstLine="640"/>
      </w:pPr>
      <w:r>
        <w:rPr>
          <w:rFonts w:hint="eastAsia"/>
        </w:rPr>
        <w:t>（八）医院病房楼、休（疗）养院住宿楼、幼儿园、托儿所和大、中、小学教学楼与相邻建筑的间距，除满足本规定要求外，还应满足相关国家规范要求。</w:t>
      </w:r>
    </w:p>
    <w:p w14:paraId="3A72C085">
      <w:pPr>
        <w:spacing w:before="160" w:after="160"/>
        <w:ind w:firstLine="640"/>
      </w:pPr>
      <w:r>
        <w:rPr>
          <w:rFonts w:hint="eastAsia"/>
        </w:rPr>
        <w:t>（九）各类无日照要求的非住宅建筑的间距，可以在同型布置方式的住宅建筑间距的要求上减少30%，其中多、低层的商业、仓储、工业类建筑以消防退距要求为主；同时非住宅高层建筑之间的开窗面间距，南北向平行布置的，间距不得小于20米；东西向平行布置的，间距不得小于15米。</w:t>
      </w:r>
    </w:p>
    <w:p w14:paraId="0E7CFA0D">
      <w:pPr>
        <w:spacing w:before="160" w:after="160"/>
        <w:ind w:firstLine="640"/>
      </w:pPr>
      <w:r>
        <w:rPr>
          <w:rFonts w:hint="eastAsia"/>
        </w:rPr>
        <w:t>（十）建筑间距控制表</w:t>
      </w:r>
    </w:p>
    <w:p w14:paraId="7AEF2858">
      <w:pPr>
        <w:spacing w:before="160" w:after="160"/>
        <w:ind w:firstLine="640"/>
      </w:pPr>
      <w:r>
        <w:rPr>
          <w:rFonts w:hint="eastAsia"/>
        </w:rPr>
        <w:t>本章建筑间距控制要求按照下表执行。</w:t>
      </w:r>
    </w:p>
    <w:p w14:paraId="3149FCC3">
      <w:pPr>
        <w:spacing w:before="160" w:after="160"/>
        <w:ind w:firstLine="0" w:firstLineChars="0"/>
      </w:pPr>
    </w:p>
    <w:p w14:paraId="0D2CB085">
      <w:pPr>
        <w:pStyle w:val="51"/>
        <w:spacing w:beforeLines="100"/>
        <w:rPr>
          <w:rFonts w:hint="default"/>
        </w:rPr>
      </w:pPr>
      <w:r>
        <w:t>表1 建筑平行布置时最小间距表</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89"/>
        <w:gridCol w:w="1620"/>
        <w:gridCol w:w="1665"/>
        <w:gridCol w:w="2325"/>
      </w:tblGrid>
      <w:tr w14:paraId="2E6B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tcPr>
          <w:p w14:paraId="66796A13">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朝向</w:t>
            </w:r>
          </w:p>
        </w:tc>
        <w:tc>
          <w:tcPr>
            <w:tcW w:w="1789" w:type="dxa"/>
          </w:tcPr>
          <w:p w14:paraId="046616EC">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620" w:type="dxa"/>
          </w:tcPr>
          <w:p w14:paraId="47127B50">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14:paraId="75C0FFCE">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2325" w:type="dxa"/>
          </w:tcPr>
          <w:p w14:paraId="0F4B1C82">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14:paraId="4F8D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restart"/>
          </w:tcPr>
          <w:p w14:paraId="36EA56E7">
            <w:pPr>
              <w:snapToGrid/>
              <w:spacing w:line="240" w:lineRule="auto"/>
              <w:ind w:firstLine="0" w:firstLineChars="0"/>
              <w:jc w:val="center"/>
              <w:rPr>
                <w:rFonts w:ascii="仿宋_GB2312" w:hAnsi="仿宋_GB2312" w:eastAsia="仿宋_GB2312" w:cs="仿宋_GB2312"/>
                <w:sz w:val="21"/>
              </w:rPr>
            </w:pPr>
          </w:p>
          <w:p w14:paraId="2A2B72DC">
            <w:pPr>
              <w:snapToGrid/>
              <w:spacing w:line="240" w:lineRule="auto"/>
              <w:ind w:firstLine="0" w:firstLineChars="0"/>
              <w:jc w:val="center"/>
              <w:rPr>
                <w:rFonts w:ascii="仿宋_GB2312" w:hAnsi="仿宋_GB2312" w:eastAsia="仿宋_GB2312" w:cs="仿宋_GB2312"/>
                <w:sz w:val="21"/>
              </w:rPr>
            </w:pPr>
          </w:p>
          <w:p w14:paraId="3EAB956B">
            <w:pPr>
              <w:snapToGrid/>
              <w:spacing w:line="240" w:lineRule="auto"/>
              <w:ind w:firstLine="0" w:firstLineChars="0"/>
              <w:jc w:val="center"/>
              <w:rPr>
                <w:rFonts w:ascii="仿宋_GB2312" w:hAnsi="仿宋_GB2312" w:eastAsia="仿宋_GB2312" w:cs="仿宋_GB2312"/>
                <w:sz w:val="21"/>
              </w:rPr>
            </w:pPr>
          </w:p>
          <w:p w14:paraId="5C035950">
            <w:pPr>
              <w:snapToGrid/>
              <w:spacing w:line="240" w:lineRule="auto"/>
              <w:ind w:firstLine="0" w:firstLineChars="0"/>
              <w:jc w:val="center"/>
              <w:rPr>
                <w:rFonts w:ascii="仿宋_GB2312" w:hAnsi="仿宋_GB2312" w:eastAsia="仿宋_GB2312" w:cs="仿宋_GB2312"/>
                <w:sz w:val="21"/>
              </w:rPr>
            </w:pPr>
          </w:p>
          <w:p w14:paraId="654ADAD0">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正南北向</w:t>
            </w:r>
          </w:p>
          <w:p w14:paraId="66ADEA1F">
            <w:pPr>
              <w:snapToGrid/>
              <w:spacing w:line="240" w:lineRule="auto"/>
              <w:ind w:firstLine="0" w:firstLineChars="0"/>
              <w:rPr>
                <w:rFonts w:ascii="仿宋_GB2312" w:hAnsi="仿宋_GB2312" w:eastAsia="仿宋_GB2312" w:cs="仿宋_GB2312"/>
                <w:sz w:val="21"/>
              </w:rPr>
            </w:pPr>
          </w:p>
        </w:tc>
        <w:tc>
          <w:tcPr>
            <w:tcW w:w="1789" w:type="dxa"/>
          </w:tcPr>
          <w:p w14:paraId="4E291BE7">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H≤24米</w:t>
            </w:r>
          </w:p>
        </w:tc>
        <w:tc>
          <w:tcPr>
            <w:tcW w:w="1620" w:type="dxa"/>
          </w:tcPr>
          <w:p w14:paraId="3D20DBD9">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≥0.9H且≥6米</w:t>
            </w:r>
          </w:p>
        </w:tc>
        <w:tc>
          <w:tcPr>
            <w:tcW w:w="1665" w:type="dxa"/>
          </w:tcPr>
          <w:p w14:paraId="620B4808">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≥1.05H且≥6米</w:t>
            </w:r>
          </w:p>
        </w:tc>
        <w:tc>
          <w:tcPr>
            <w:tcW w:w="2325" w:type="dxa"/>
            <w:vMerge w:val="restart"/>
          </w:tcPr>
          <w:p w14:paraId="0A67082F">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H为南侧建筑高度</w:t>
            </w:r>
          </w:p>
          <w:p w14:paraId="6FFBF2AB">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1339215" cy="1135380"/>
                  <wp:effectExtent l="0" t="0" r="13335" b="7620"/>
                  <wp:docPr id="38" name="图片 38" descr="e8a0770f8780e3374432adf35e64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8a0770f8780e3374432adf35e64b6f"/>
                          <pic:cNvPicPr>
                            <a:picLocks noChangeAspect="1"/>
                          </pic:cNvPicPr>
                        </pic:nvPicPr>
                        <pic:blipFill>
                          <a:blip r:embed="rId43"/>
                          <a:stretch>
                            <a:fillRect/>
                          </a:stretch>
                        </pic:blipFill>
                        <pic:spPr>
                          <a:xfrm>
                            <a:off x="0" y="0"/>
                            <a:ext cx="1339215" cy="1135380"/>
                          </a:xfrm>
                          <a:prstGeom prst="rect">
                            <a:avLst/>
                          </a:prstGeom>
                        </pic:spPr>
                      </pic:pic>
                    </a:graphicData>
                  </a:graphic>
                </wp:inline>
              </w:drawing>
            </w:r>
          </w:p>
        </w:tc>
      </w:tr>
      <w:tr w14:paraId="2601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14:paraId="75C0F65E">
            <w:pPr>
              <w:snapToGrid/>
              <w:spacing w:line="240" w:lineRule="auto"/>
              <w:ind w:firstLine="0" w:firstLineChars="0"/>
              <w:rPr>
                <w:rFonts w:ascii="仿宋_GB2312" w:hAnsi="仿宋_GB2312" w:eastAsia="仿宋_GB2312" w:cs="仿宋_GB2312"/>
                <w:sz w:val="21"/>
              </w:rPr>
            </w:pPr>
          </w:p>
        </w:tc>
        <w:tc>
          <w:tcPr>
            <w:tcW w:w="1789" w:type="dxa"/>
          </w:tcPr>
          <w:p w14:paraId="24D977C8">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24米&lt;H≤60米</w:t>
            </w:r>
          </w:p>
        </w:tc>
        <w:tc>
          <w:tcPr>
            <w:tcW w:w="1620" w:type="dxa"/>
          </w:tcPr>
          <w:p w14:paraId="51D8BDF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≥21.6+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X0.35</w:t>
            </w:r>
          </w:p>
        </w:tc>
        <w:tc>
          <w:tcPr>
            <w:tcW w:w="1665" w:type="dxa"/>
          </w:tcPr>
          <w:p w14:paraId="43905BD4">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≥25.2+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X0.4</w:t>
            </w:r>
          </w:p>
        </w:tc>
        <w:tc>
          <w:tcPr>
            <w:tcW w:w="2325" w:type="dxa"/>
            <w:vMerge w:val="continue"/>
            <w:shd w:val="clear" w:color="auto" w:fill="auto"/>
          </w:tcPr>
          <w:p w14:paraId="37F2F205">
            <w:pPr>
              <w:snapToGrid/>
              <w:spacing w:line="240" w:lineRule="auto"/>
              <w:ind w:firstLine="0" w:firstLineChars="0"/>
              <w:rPr>
                <w:rFonts w:ascii="仿宋_GB2312" w:hAnsi="仿宋_GB2312" w:eastAsia="仿宋_GB2312" w:cs="仿宋_GB2312"/>
                <w:sz w:val="21"/>
              </w:rPr>
            </w:pPr>
          </w:p>
        </w:tc>
      </w:tr>
      <w:tr w14:paraId="55EC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shd w:val="clear" w:color="auto" w:fill="auto"/>
          </w:tcPr>
          <w:p w14:paraId="389975C8">
            <w:pPr>
              <w:snapToGrid/>
              <w:spacing w:line="240" w:lineRule="auto"/>
              <w:ind w:firstLine="0" w:firstLineChars="0"/>
              <w:rPr>
                <w:rFonts w:ascii="仿宋_GB2312" w:hAnsi="仿宋_GB2312" w:eastAsia="仿宋_GB2312" w:cs="仿宋_GB2312"/>
                <w:sz w:val="21"/>
              </w:rPr>
            </w:pPr>
          </w:p>
        </w:tc>
        <w:tc>
          <w:tcPr>
            <w:tcW w:w="1789" w:type="dxa"/>
          </w:tcPr>
          <w:p w14:paraId="75990DA5">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60米&lt;H≤100米</w:t>
            </w:r>
          </w:p>
        </w:tc>
        <w:tc>
          <w:tcPr>
            <w:tcW w:w="1620" w:type="dxa"/>
            <w:shd w:val="clear" w:color="auto" w:fill="auto"/>
          </w:tcPr>
          <w:p w14:paraId="376BE1FD">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≥34.2+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1665" w:type="dxa"/>
            <w:shd w:val="clear" w:color="auto" w:fill="auto"/>
          </w:tcPr>
          <w:p w14:paraId="719A80AC">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≥39.6+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2325" w:type="dxa"/>
            <w:vMerge w:val="continue"/>
          </w:tcPr>
          <w:p w14:paraId="43F6490E">
            <w:pPr>
              <w:snapToGrid/>
              <w:spacing w:line="240" w:lineRule="auto"/>
              <w:ind w:firstLine="0" w:firstLineChars="0"/>
              <w:rPr>
                <w:rFonts w:ascii="仿宋_GB2312" w:hAnsi="仿宋_GB2312" w:eastAsia="仿宋_GB2312" w:cs="仿宋_GB2312"/>
                <w:sz w:val="21"/>
              </w:rPr>
            </w:pPr>
          </w:p>
        </w:tc>
      </w:tr>
      <w:tr w14:paraId="7DA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shd w:val="clear" w:color="auto" w:fill="auto"/>
          </w:tcPr>
          <w:p w14:paraId="07BBA742">
            <w:pPr>
              <w:snapToGrid/>
              <w:spacing w:line="240" w:lineRule="auto"/>
              <w:ind w:firstLine="0" w:firstLineChars="0"/>
              <w:rPr>
                <w:rFonts w:ascii="仿宋_GB2312" w:hAnsi="仿宋_GB2312" w:eastAsia="仿宋_GB2312" w:cs="仿宋_GB2312"/>
                <w:sz w:val="21"/>
              </w:rPr>
            </w:pPr>
          </w:p>
        </w:tc>
        <w:tc>
          <w:tcPr>
            <w:tcW w:w="1789" w:type="dxa"/>
          </w:tcPr>
          <w:p w14:paraId="652F335B">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100米&lt;H≤150米</w:t>
            </w:r>
          </w:p>
        </w:tc>
        <w:tc>
          <w:tcPr>
            <w:tcW w:w="1620" w:type="dxa"/>
            <w:shd w:val="clear" w:color="auto" w:fill="auto"/>
          </w:tcPr>
          <w:p w14:paraId="0CAEB1D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≥42.2+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1665" w:type="dxa"/>
            <w:shd w:val="clear" w:color="auto" w:fill="auto"/>
          </w:tcPr>
          <w:p w14:paraId="4878980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≥47.6+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2325" w:type="dxa"/>
            <w:vMerge w:val="continue"/>
          </w:tcPr>
          <w:p w14:paraId="7B664854">
            <w:pPr>
              <w:snapToGrid/>
              <w:spacing w:line="240" w:lineRule="auto"/>
              <w:ind w:firstLine="0" w:firstLineChars="0"/>
              <w:rPr>
                <w:rFonts w:ascii="仿宋_GB2312" w:hAnsi="仿宋_GB2312" w:eastAsia="仿宋_GB2312" w:cs="仿宋_GB2312"/>
                <w:sz w:val="21"/>
              </w:rPr>
            </w:pPr>
          </w:p>
        </w:tc>
      </w:tr>
      <w:tr w14:paraId="61C5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restart"/>
          </w:tcPr>
          <w:p w14:paraId="63551CA8">
            <w:pPr>
              <w:snapToGrid/>
              <w:spacing w:line="240" w:lineRule="auto"/>
              <w:ind w:firstLine="0" w:firstLineChars="0"/>
              <w:rPr>
                <w:rFonts w:ascii="仿宋_GB2312" w:hAnsi="仿宋_GB2312" w:eastAsia="仿宋_GB2312" w:cs="仿宋_GB2312"/>
                <w:sz w:val="21"/>
              </w:rPr>
            </w:pPr>
          </w:p>
          <w:p w14:paraId="788956DD">
            <w:pPr>
              <w:snapToGrid/>
              <w:spacing w:line="240" w:lineRule="auto"/>
              <w:ind w:firstLine="0" w:firstLineChars="0"/>
              <w:rPr>
                <w:rFonts w:ascii="仿宋_GB2312" w:hAnsi="仿宋_GB2312" w:eastAsia="仿宋_GB2312" w:cs="仿宋_GB2312"/>
                <w:sz w:val="21"/>
              </w:rPr>
            </w:pPr>
          </w:p>
          <w:p w14:paraId="57D5675D">
            <w:pPr>
              <w:snapToGrid/>
              <w:spacing w:line="240" w:lineRule="auto"/>
              <w:ind w:firstLine="0" w:firstLineChars="0"/>
              <w:rPr>
                <w:rFonts w:ascii="仿宋_GB2312" w:hAnsi="仿宋_GB2312" w:eastAsia="仿宋_GB2312" w:cs="仿宋_GB2312"/>
                <w:sz w:val="21"/>
              </w:rPr>
            </w:pPr>
          </w:p>
          <w:p w14:paraId="0CCE2B8E">
            <w:pPr>
              <w:snapToGrid/>
              <w:spacing w:line="240" w:lineRule="auto"/>
              <w:ind w:firstLine="0" w:firstLineChars="0"/>
              <w:rPr>
                <w:rFonts w:ascii="仿宋_GB2312" w:hAnsi="仿宋_GB2312" w:eastAsia="仿宋_GB2312" w:cs="仿宋_GB2312"/>
                <w:sz w:val="21"/>
              </w:rPr>
            </w:pPr>
          </w:p>
          <w:p w14:paraId="44B3B04A">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正东西向</w:t>
            </w:r>
          </w:p>
        </w:tc>
        <w:tc>
          <w:tcPr>
            <w:tcW w:w="1789" w:type="dxa"/>
            <w:shd w:val="clear" w:color="auto" w:fill="auto"/>
          </w:tcPr>
          <w:p w14:paraId="4346BDBD">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H≤24米</w:t>
            </w:r>
          </w:p>
        </w:tc>
        <w:tc>
          <w:tcPr>
            <w:tcW w:w="1620" w:type="dxa"/>
            <w:shd w:val="clear" w:color="auto" w:fill="auto"/>
          </w:tcPr>
          <w:p w14:paraId="01405195">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≥0.8H</w:t>
            </w:r>
          </w:p>
        </w:tc>
        <w:tc>
          <w:tcPr>
            <w:tcW w:w="1665" w:type="dxa"/>
            <w:shd w:val="clear" w:color="auto" w:fill="auto"/>
          </w:tcPr>
          <w:p w14:paraId="087706FB">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≥1.0H</w:t>
            </w:r>
          </w:p>
        </w:tc>
        <w:tc>
          <w:tcPr>
            <w:tcW w:w="2325" w:type="dxa"/>
            <w:vMerge w:val="restart"/>
            <w:shd w:val="clear" w:color="auto" w:fill="auto"/>
          </w:tcPr>
          <w:p w14:paraId="079AD091">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H为较高建筑高度</w:t>
            </w:r>
          </w:p>
          <w:p w14:paraId="796E9821">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1337945" cy="1257935"/>
                  <wp:effectExtent l="0" t="0" r="14605" b="18415"/>
                  <wp:docPr id="41" name="图片 41" descr="6f298b07175ad9b7589147462f8b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f298b07175ad9b7589147462f8b8f0"/>
                          <pic:cNvPicPr>
                            <a:picLocks noChangeAspect="1"/>
                          </pic:cNvPicPr>
                        </pic:nvPicPr>
                        <pic:blipFill>
                          <a:blip r:embed="rId44"/>
                          <a:stretch>
                            <a:fillRect/>
                          </a:stretch>
                        </pic:blipFill>
                        <pic:spPr>
                          <a:xfrm>
                            <a:off x="0" y="0"/>
                            <a:ext cx="1337945" cy="1257935"/>
                          </a:xfrm>
                          <a:prstGeom prst="rect">
                            <a:avLst/>
                          </a:prstGeom>
                        </pic:spPr>
                      </pic:pic>
                    </a:graphicData>
                  </a:graphic>
                </wp:inline>
              </w:drawing>
            </w:r>
          </w:p>
        </w:tc>
      </w:tr>
      <w:tr w14:paraId="2C23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14:paraId="4750EB02">
            <w:pPr>
              <w:snapToGrid/>
              <w:spacing w:line="240" w:lineRule="auto"/>
              <w:ind w:firstLine="0" w:firstLineChars="0"/>
              <w:rPr>
                <w:rFonts w:ascii="仿宋_GB2312" w:hAnsi="仿宋_GB2312" w:eastAsia="仿宋_GB2312" w:cs="仿宋_GB2312"/>
                <w:sz w:val="21"/>
              </w:rPr>
            </w:pPr>
          </w:p>
        </w:tc>
        <w:tc>
          <w:tcPr>
            <w:tcW w:w="1789" w:type="dxa"/>
            <w:shd w:val="clear" w:color="auto" w:fill="auto"/>
          </w:tcPr>
          <w:p w14:paraId="4ED5395B">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24米&lt;H≤60米</w:t>
            </w:r>
          </w:p>
        </w:tc>
        <w:tc>
          <w:tcPr>
            <w:tcW w:w="1620" w:type="dxa"/>
            <w:shd w:val="clear" w:color="auto" w:fill="auto"/>
          </w:tcPr>
          <w:p w14:paraId="2CF4BE4F">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≥19.2+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1665" w:type="dxa"/>
            <w:shd w:val="clear" w:color="auto" w:fill="auto"/>
          </w:tcPr>
          <w:p w14:paraId="3BC3CD0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X0.25</w:t>
            </w:r>
          </w:p>
        </w:tc>
        <w:tc>
          <w:tcPr>
            <w:tcW w:w="2325" w:type="dxa"/>
            <w:vMerge w:val="continue"/>
            <w:shd w:val="clear" w:color="auto" w:fill="auto"/>
          </w:tcPr>
          <w:p w14:paraId="382D41F5">
            <w:pPr>
              <w:snapToGrid/>
              <w:spacing w:line="240" w:lineRule="auto"/>
              <w:ind w:firstLine="0" w:firstLineChars="0"/>
              <w:rPr>
                <w:rFonts w:ascii="仿宋_GB2312" w:hAnsi="仿宋_GB2312" w:eastAsia="仿宋_GB2312" w:cs="仿宋_GB2312"/>
                <w:sz w:val="21"/>
              </w:rPr>
            </w:pPr>
          </w:p>
        </w:tc>
      </w:tr>
      <w:tr w14:paraId="282B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14:paraId="7286379A">
            <w:pPr>
              <w:snapToGrid/>
              <w:spacing w:line="240" w:lineRule="auto"/>
              <w:ind w:firstLine="0" w:firstLineChars="0"/>
              <w:rPr>
                <w:rFonts w:ascii="仿宋_GB2312" w:hAnsi="仿宋_GB2312" w:eastAsia="仿宋_GB2312" w:cs="仿宋_GB2312"/>
                <w:sz w:val="21"/>
              </w:rPr>
            </w:pPr>
          </w:p>
        </w:tc>
        <w:tc>
          <w:tcPr>
            <w:tcW w:w="1789" w:type="dxa"/>
          </w:tcPr>
          <w:p w14:paraId="4A952704">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60米&lt;H≤100米</w:t>
            </w:r>
          </w:p>
        </w:tc>
        <w:tc>
          <w:tcPr>
            <w:tcW w:w="1620" w:type="dxa"/>
          </w:tcPr>
          <w:p w14:paraId="28BAABD5">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≥26.4+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1665" w:type="dxa"/>
          </w:tcPr>
          <w:p w14:paraId="5DBD27B3">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≥33+</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2325" w:type="dxa"/>
            <w:vMerge w:val="continue"/>
          </w:tcPr>
          <w:p w14:paraId="23A034E3">
            <w:pPr>
              <w:snapToGrid/>
              <w:spacing w:line="240" w:lineRule="auto"/>
              <w:ind w:firstLine="0" w:firstLineChars="0"/>
              <w:rPr>
                <w:rFonts w:ascii="仿宋_GB2312" w:hAnsi="仿宋_GB2312" w:eastAsia="仿宋_GB2312" w:cs="仿宋_GB2312"/>
                <w:sz w:val="21"/>
              </w:rPr>
            </w:pPr>
          </w:p>
        </w:tc>
      </w:tr>
      <w:tr w14:paraId="4CEF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30" w:type="dxa"/>
            <w:vMerge w:val="continue"/>
          </w:tcPr>
          <w:p w14:paraId="52E3D08F">
            <w:pPr>
              <w:snapToGrid/>
              <w:spacing w:line="240" w:lineRule="auto"/>
              <w:ind w:firstLine="0" w:firstLineChars="0"/>
              <w:rPr>
                <w:rFonts w:ascii="仿宋_GB2312" w:hAnsi="仿宋_GB2312" w:eastAsia="仿宋_GB2312" w:cs="仿宋_GB2312"/>
                <w:sz w:val="21"/>
              </w:rPr>
            </w:pPr>
          </w:p>
        </w:tc>
        <w:tc>
          <w:tcPr>
            <w:tcW w:w="1789" w:type="dxa"/>
          </w:tcPr>
          <w:p w14:paraId="493AD27E">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100米&lt;H≤150米</w:t>
            </w:r>
          </w:p>
        </w:tc>
        <w:tc>
          <w:tcPr>
            <w:tcW w:w="1620" w:type="dxa"/>
          </w:tcPr>
          <w:p w14:paraId="6313BA1C">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≥32.8+</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w:t>
            </w:r>
          </w:p>
        </w:tc>
        <w:tc>
          <w:tcPr>
            <w:tcW w:w="1665" w:type="dxa"/>
          </w:tcPr>
          <w:p w14:paraId="72DD4EB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≥39.4+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w:t>
            </w:r>
          </w:p>
        </w:tc>
        <w:tc>
          <w:tcPr>
            <w:tcW w:w="2325" w:type="dxa"/>
            <w:vMerge w:val="continue"/>
          </w:tcPr>
          <w:p w14:paraId="63608852">
            <w:pPr>
              <w:snapToGrid/>
              <w:spacing w:line="240" w:lineRule="auto"/>
              <w:ind w:firstLine="0" w:firstLineChars="0"/>
              <w:rPr>
                <w:rFonts w:ascii="仿宋_GB2312" w:hAnsi="仿宋_GB2312" w:eastAsia="仿宋_GB2312" w:cs="仿宋_GB2312"/>
                <w:sz w:val="21"/>
              </w:rPr>
            </w:pPr>
          </w:p>
        </w:tc>
      </w:tr>
    </w:tbl>
    <w:p w14:paraId="143DCF39">
      <w:pPr>
        <w:ind w:firstLine="560"/>
        <w:rPr>
          <w:sz w:val="28"/>
          <w:szCs w:val="22"/>
        </w:rPr>
      </w:pPr>
      <w:r>
        <w:rPr>
          <w:rFonts w:hint="eastAsia"/>
          <w:sz w:val="28"/>
          <w:szCs w:val="22"/>
        </w:rPr>
        <w:t>注：①H＞150米部分，不再增加间距；</w:t>
      </w:r>
    </w:p>
    <w:p w14:paraId="5A0B7C57">
      <w:pPr>
        <w:ind w:firstLine="560"/>
        <w:rPr>
          <w:sz w:val="28"/>
          <w:szCs w:val="22"/>
        </w:rPr>
      </w:pPr>
      <w:r>
        <w:rPr>
          <w:rFonts w:hint="eastAsia"/>
          <w:sz w:val="28"/>
          <w:szCs w:val="22"/>
        </w:rPr>
        <w:t>②北侧建筑高度11米&lt;H1</w:t>
      </w:r>
      <w:r>
        <w:rPr>
          <w:sz w:val="28"/>
          <w:szCs w:val="22"/>
        </w:rPr>
        <w:t>≤</w:t>
      </w:r>
      <w:r>
        <w:rPr>
          <w:rFonts w:hint="eastAsia"/>
          <w:sz w:val="28"/>
          <w:szCs w:val="22"/>
        </w:rPr>
        <w:t>24米</w:t>
      </w:r>
      <w:r>
        <w:rPr>
          <w:rFonts w:hint="eastAsia"/>
          <w:sz w:val="28"/>
          <w:szCs w:val="22"/>
          <w:lang w:eastAsia="zh-CN"/>
        </w:rPr>
        <w:t>，</w:t>
      </w:r>
      <w:r>
        <w:rPr>
          <w:rFonts w:hint="eastAsia"/>
          <w:sz w:val="28"/>
          <w:szCs w:val="22"/>
        </w:rPr>
        <w:t>时，最小间距应不小于9米；北侧建筑高度H1大于24米时，最小间距旧区应不小于13米，新区应不小于15米。</w:t>
      </w:r>
    </w:p>
    <w:p w14:paraId="75E290FF">
      <w:pPr>
        <w:ind w:firstLine="560"/>
        <w:rPr>
          <w:sz w:val="28"/>
          <w:szCs w:val="22"/>
        </w:rPr>
      </w:pPr>
      <w:r>
        <w:rPr>
          <w:rFonts w:hint="eastAsia"/>
          <w:sz w:val="28"/>
          <w:szCs w:val="22"/>
        </w:rPr>
        <w:t>③南偏东（西）大于15度小于等于30度按照南北朝向的0.9倍折减；大于30度小于等于45度按照南北朝向的0.8倍折减；大于45度小于等于60度按照东西朝向的0.8倍折减；60度以上按照东西朝向的0.9倍折减。</w:t>
      </w:r>
    </w:p>
    <w:p w14:paraId="4DDF04F2">
      <w:pPr>
        <w:ind w:firstLine="560"/>
        <w:rPr>
          <w:sz w:val="28"/>
          <w:szCs w:val="22"/>
        </w:rPr>
      </w:pPr>
    </w:p>
    <w:p w14:paraId="29965AAA">
      <w:pPr>
        <w:ind w:firstLine="560"/>
        <w:rPr>
          <w:sz w:val="28"/>
          <w:szCs w:val="22"/>
        </w:rPr>
      </w:pPr>
    </w:p>
    <w:p w14:paraId="4EAA4F42">
      <w:pPr>
        <w:ind w:firstLine="560"/>
        <w:rPr>
          <w:sz w:val="28"/>
          <w:szCs w:val="22"/>
        </w:rPr>
      </w:pPr>
    </w:p>
    <w:p w14:paraId="7216D8C4">
      <w:pPr>
        <w:pStyle w:val="51"/>
        <w:spacing w:beforeLines="100"/>
        <w:rPr>
          <w:rFonts w:hint="default"/>
        </w:rPr>
      </w:pPr>
      <w:r>
        <w:t>表2 建筑山墙最小间距表</w:t>
      </w:r>
    </w:p>
    <w:tbl>
      <w:tblPr>
        <w:tblStyle w:val="22"/>
        <w:tblpPr w:leftFromText="180" w:rightFromText="180" w:vertAnchor="text" w:horzAnchor="page" w:tblpX="1582" w:tblpY="345"/>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620"/>
        <w:gridCol w:w="1665"/>
        <w:gridCol w:w="3430"/>
      </w:tblGrid>
      <w:tr w14:paraId="67BA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4D4FE31C">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建筑类型</w:t>
            </w:r>
          </w:p>
        </w:tc>
        <w:tc>
          <w:tcPr>
            <w:tcW w:w="1620" w:type="dxa"/>
          </w:tcPr>
          <w:p w14:paraId="1326D8AD">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14:paraId="62FF5097">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3430" w:type="dxa"/>
          </w:tcPr>
          <w:p w14:paraId="34E6980B">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14:paraId="69AF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73637672">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低层山墙间距</w:t>
            </w:r>
          </w:p>
        </w:tc>
        <w:tc>
          <w:tcPr>
            <w:tcW w:w="1620" w:type="dxa"/>
          </w:tcPr>
          <w:p w14:paraId="16429882">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≥4米</w:t>
            </w:r>
          </w:p>
        </w:tc>
        <w:tc>
          <w:tcPr>
            <w:tcW w:w="1665" w:type="dxa"/>
          </w:tcPr>
          <w:p w14:paraId="6B670C14">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≥4米</w:t>
            </w:r>
          </w:p>
        </w:tc>
        <w:tc>
          <w:tcPr>
            <w:tcW w:w="3430" w:type="dxa"/>
            <w:vMerge w:val="restart"/>
          </w:tcPr>
          <w:p w14:paraId="61464AA8">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H为较高建筑高度。若LA不大于25米，且LB不大于20米，则L1可按山墙间距控制；</w:t>
            </w:r>
          </w:p>
          <w:p w14:paraId="7F9C9D47">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33905" cy="926465"/>
                  <wp:effectExtent l="0" t="0" r="4445" b="6985"/>
                  <wp:docPr id="92" name="图片 92" descr="174943325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1749433257951"/>
                          <pic:cNvPicPr>
                            <a:picLocks noChangeAspect="1"/>
                          </pic:cNvPicPr>
                        </pic:nvPicPr>
                        <pic:blipFill>
                          <a:blip r:embed="rId45"/>
                          <a:stretch>
                            <a:fillRect/>
                          </a:stretch>
                        </pic:blipFill>
                        <pic:spPr>
                          <a:xfrm>
                            <a:off x="0" y="0"/>
                            <a:ext cx="2033905" cy="926465"/>
                          </a:xfrm>
                          <a:prstGeom prst="rect">
                            <a:avLst/>
                          </a:prstGeom>
                        </pic:spPr>
                      </pic:pic>
                    </a:graphicData>
                  </a:graphic>
                </wp:inline>
              </w:drawing>
            </w:r>
          </w:p>
          <w:p w14:paraId="1CD3CE65">
            <w:pPr>
              <w:snapToGrid/>
              <w:spacing w:line="240" w:lineRule="auto"/>
              <w:ind w:firstLine="0" w:firstLineChars="0"/>
              <w:rPr>
                <w:rFonts w:ascii="仿宋_GB2312" w:hAnsi="仿宋_GB2312" w:eastAsia="仿宋_GB2312" w:cs="仿宋_GB2312"/>
                <w:sz w:val="21"/>
              </w:rPr>
            </w:pPr>
          </w:p>
        </w:tc>
      </w:tr>
      <w:tr w14:paraId="60C1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7F2D4B4E">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多层山墙间距</w:t>
            </w:r>
          </w:p>
        </w:tc>
        <w:tc>
          <w:tcPr>
            <w:tcW w:w="1620" w:type="dxa"/>
          </w:tcPr>
          <w:p w14:paraId="0795023D">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≥0.35H且≥6米</w:t>
            </w:r>
          </w:p>
        </w:tc>
        <w:tc>
          <w:tcPr>
            <w:tcW w:w="1665" w:type="dxa"/>
          </w:tcPr>
          <w:p w14:paraId="6022BAB8">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≥0.45H且≥7米</w:t>
            </w:r>
          </w:p>
        </w:tc>
        <w:tc>
          <w:tcPr>
            <w:tcW w:w="3430" w:type="dxa"/>
            <w:vMerge w:val="continue"/>
            <w:shd w:val="clear" w:color="auto" w:fill="auto"/>
          </w:tcPr>
          <w:p w14:paraId="4A5D04C8">
            <w:pPr>
              <w:snapToGrid/>
              <w:spacing w:line="240" w:lineRule="auto"/>
              <w:ind w:firstLine="0" w:firstLineChars="0"/>
              <w:rPr>
                <w:rFonts w:ascii="仿宋_GB2312" w:hAnsi="仿宋_GB2312" w:eastAsia="仿宋_GB2312" w:cs="仿宋_GB2312"/>
                <w:sz w:val="21"/>
              </w:rPr>
            </w:pPr>
          </w:p>
        </w:tc>
      </w:tr>
      <w:tr w14:paraId="623A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324561C1">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小于等于60米高层建筑与高、多、低层建筑的山墙间距</w:t>
            </w:r>
          </w:p>
        </w:tc>
        <w:tc>
          <w:tcPr>
            <w:tcW w:w="1620" w:type="dxa"/>
            <w:shd w:val="clear" w:color="auto" w:fill="auto"/>
          </w:tcPr>
          <w:p w14:paraId="50E389E8">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不小于山墙宽度且≥13米</w:t>
            </w:r>
          </w:p>
        </w:tc>
        <w:tc>
          <w:tcPr>
            <w:tcW w:w="1665" w:type="dxa"/>
            <w:shd w:val="clear" w:color="auto" w:fill="auto"/>
          </w:tcPr>
          <w:p w14:paraId="78AE91DB">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不小于山墙宽度且≥13米</w:t>
            </w:r>
          </w:p>
        </w:tc>
        <w:tc>
          <w:tcPr>
            <w:tcW w:w="3430" w:type="dxa"/>
            <w:vMerge w:val="continue"/>
          </w:tcPr>
          <w:p w14:paraId="62A4E8AC">
            <w:pPr>
              <w:snapToGrid/>
              <w:spacing w:line="240" w:lineRule="auto"/>
              <w:ind w:firstLine="0" w:firstLineChars="0"/>
              <w:rPr>
                <w:rFonts w:ascii="仿宋_GB2312" w:hAnsi="仿宋_GB2312" w:eastAsia="仿宋_GB2312" w:cs="仿宋_GB2312"/>
                <w:sz w:val="21"/>
              </w:rPr>
            </w:pPr>
          </w:p>
        </w:tc>
      </w:tr>
      <w:tr w14:paraId="00A7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4B9B3AA6">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大于60米的高层建筑与高、多、低层建筑的山墙间距</w:t>
            </w:r>
          </w:p>
        </w:tc>
        <w:tc>
          <w:tcPr>
            <w:tcW w:w="1620" w:type="dxa"/>
            <w:shd w:val="clear" w:color="auto" w:fill="auto"/>
          </w:tcPr>
          <w:p w14:paraId="76D796AE">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不小于山墙宽度且不小于表1最小间距的0.7倍</w:t>
            </w:r>
          </w:p>
        </w:tc>
        <w:tc>
          <w:tcPr>
            <w:tcW w:w="1665" w:type="dxa"/>
            <w:shd w:val="clear" w:color="auto" w:fill="auto"/>
          </w:tcPr>
          <w:p w14:paraId="6CBBF260">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不小于山墙宽度且不小于表1最小间距的0.7倍</w:t>
            </w:r>
          </w:p>
        </w:tc>
        <w:tc>
          <w:tcPr>
            <w:tcW w:w="3430" w:type="dxa"/>
            <w:vMerge w:val="continue"/>
          </w:tcPr>
          <w:p w14:paraId="1088D452">
            <w:pPr>
              <w:snapToGrid/>
              <w:spacing w:line="240" w:lineRule="auto"/>
              <w:ind w:firstLine="0" w:firstLineChars="0"/>
              <w:rPr>
                <w:rFonts w:ascii="仿宋_GB2312" w:hAnsi="仿宋_GB2312" w:eastAsia="仿宋_GB2312" w:cs="仿宋_GB2312"/>
                <w:sz w:val="21"/>
              </w:rPr>
            </w:pPr>
          </w:p>
        </w:tc>
      </w:tr>
    </w:tbl>
    <w:p w14:paraId="5195D9FA">
      <w:pPr>
        <w:snapToGrid/>
        <w:spacing w:line="240" w:lineRule="auto"/>
        <w:ind w:firstLine="0" w:firstLineChars="0"/>
        <w:rPr>
          <w:rFonts w:ascii="Calibri" w:hAnsi="Calibri" w:eastAsia="宋体" w:cs="Times New Roman"/>
          <w:sz w:val="21"/>
        </w:rPr>
      </w:pPr>
    </w:p>
    <w:p w14:paraId="325BF456">
      <w:pPr>
        <w:pStyle w:val="51"/>
        <w:spacing w:beforeLines="100"/>
        <w:rPr>
          <w:rFonts w:hint="default"/>
        </w:rPr>
      </w:pPr>
      <w:r>
        <w:t>表3 建筑垂直布置时最小间距表</w:t>
      </w:r>
    </w:p>
    <w:tbl>
      <w:tblPr>
        <w:tblStyle w:val="22"/>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620"/>
        <w:gridCol w:w="1665"/>
        <w:gridCol w:w="3408"/>
      </w:tblGrid>
      <w:tr w14:paraId="3097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10F12C36">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建筑类型</w:t>
            </w:r>
          </w:p>
        </w:tc>
        <w:tc>
          <w:tcPr>
            <w:tcW w:w="1620" w:type="dxa"/>
          </w:tcPr>
          <w:p w14:paraId="28AD26CC">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14:paraId="5E47C351">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3408" w:type="dxa"/>
          </w:tcPr>
          <w:p w14:paraId="54F68EB9">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14:paraId="7822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03186746">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多、低层建筑垂直布置（南北向间距L1）</w:t>
            </w:r>
          </w:p>
        </w:tc>
        <w:tc>
          <w:tcPr>
            <w:tcW w:w="1620" w:type="dxa"/>
          </w:tcPr>
          <w:p w14:paraId="07323424">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≥0.7H</w:t>
            </w:r>
            <w:r>
              <w:rPr>
                <w:rFonts w:hint="eastAsia" w:ascii="仿宋_GB2312" w:hAnsi="仿宋_GB2312" w:eastAsia="仿宋_GB2312" w:cs="仿宋_GB2312"/>
                <w:sz w:val="16"/>
                <w:szCs w:val="16"/>
              </w:rPr>
              <w:t>且</w:t>
            </w:r>
            <w:r>
              <w:rPr>
                <w:rFonts w:hint="eastAsia" w:ascii="仿宋_GB2312" w:hAnsi="仿宋_GB2312" w:eastAsia="仿宋_GB2312" w:cs="仿宋_GB2312"/>
                <w:sz w:val="21"/>
              </w:rPr>
              <w:t>≥6米</w:t>
            </w:r>
          </w:p>
        </w:tc>
        <w:tc>
          <w:tcPr>
            <w:tcW w:w="1665" w:type="dxa"/>
          </w:tcPr>
          <w:p w14:paraId="2AC8EC06">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≥0.85H</w:t>
            </w:r>
            <w:r>
              <w:rPr>
                <w:rFonts w:hint="eastAsia" w:ascii="仿宋_GB2312" w:hAnsi="仿宋_GB2312" w:eastAsia="仿宋_GB2312" w:cs="仿宋_GB2312"/>
                <w:sz w:val="16"/>
                <w:szCs w:val="16"/>
              </w:rPr>
              <w:t>且</w:t>
            </w:r>
            <w:r>
              <w:rPr>
                <w:rFonts w:hint="eastAsia" w:ascii="仿宋_GB2312" w:hAnsi="仿宋_GB2312" w:eastAsia="仿宋_GB2312" w:cs="仿宋_GB2312"/>
                <w:sz w:val="21"/>
              </w:rPr>
              <w:t>≥6米</w:t>
            </w:r>
          </w:p>
        </w:tc>
        <w:tc>
          <w:tcPr>
            <w:tcW w:w="3408" w:type="dxa"/>
            <w:vMerge w:val="restart"/>
          </w:tcPr>
          <w:p w14:paraId="5CA8CD06">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lang w:eastAsia="zh-CN"/>
              </w:rPr>
              <w:t>1.</w:t>
            </w:r>
            <w:r>
              <w:rPr>
                <w:rFonts w:hint="eastAsia" w:ascii="仿宋_GB2312" w:hAnsi="仿宋_GB2312" w:eastAsia="仿宋_GB2312" w:cs="仿宋_GB2312"/>
                <w:sz w:val="21"/>
              </w:rPr>
              <w:t>H为南侧建筑高度；H</w:t>
            </w:r>
            <w:r>
              <w:rPr>
                <w:rFonts w:hint="eastAsia" w:ascii="仿宋_GB2312" w:hAnsi="仿宋_GB2312" w:eastAsia="仿宋_GB2312" w:cs="仿宋_GB2312"/>
                <w:sz w:val="16"/>
                <w:szCs w:val="16"/>
              </w:rPr>
              <w:t>1</w:t>
            </w:r>
            <w:r>
              <w:rPr>
                <w:rFonts w:hint="eastAsia" w:ascii="仿宋_GB2312" w:hAnsi="仿宋_GB2312" w:eastAsia="仿宋_GB2312" w:cs="仿宋_GB2312"/>
                <w:sz w:val="21"/>
              </w:rPr>
              <w:t>为较高建筑高度。</w:t>
            </w:r>
          </w:p>
          <w:p w14:paraId="0DCE7F75">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26285" cy="1306195"/>
                  <wp:effectExtent l="0" t="0" r="12065" b="8255"/>
                  <wp:docPr id="102" name="图片 102" descr="e950ccdfa80e05a91cd1190f110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e950ccdfa80e05a91cd1190f1107859"/>
                          <pic:cNvPicPr>
                            <a:picLocks noChangeAspect="1"/>
                          </pic:cNvPicPr>
                        </pic:nvPicPr>
                        <pic:blipFill>
                          <a:blip r:embed="rId46"/>
                          <a:stretch>
                            <a:fillRect/>
                          </a:stretch>
                        </pic:blipFill>
                        <pic:spPr>
                          <a:xfrm>
                            <a:off x="0" y="0"/>
                            <a:ext cx="2026285" cy="1306195"/>
                          </a:xfrm>
                          <a:prstGeom prst="rect">
                            <a:avLst/>
                          </a:prstGeom>
                        </pic:spPr>
                      </pic:pic>
                    </a:graphicData>
                  </a:graphic>
                </wp:inline>
              </w:drawing>
            </w:r>
          </w:p>
        </w:tc>
      </w:tr>
      <w:tr w14:paraId="5183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661AF1AC">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多、低层建筑垂直布置（东西向间距L2）</w:t>
            </w:r>
          </w:p>
        </w:tc>
        <w:tc>
          <w:tcPr>
            <w:tcW w:w="1620" w:type="dxa"/>
          </w:tcPr>
          <w:p w14:paraId="5B885F22">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≥0.65H</w:t>
            </w:r>
            <w:r>
              <w:rPr>
                <w:rFonts w:hint="eastAsia" w:ascii="仿宋_GB2312" w:hAnsi="仿宋_GB2312" w:eastAsia="仿宋_GB2312" w:cs="仿宋_GB2312"/>
                <w:sz w:val="16"/>
                <w:szCs w:val="16"/>
              </w:rPr>
              <w:t>1且</w:t>
            </w:r>
            <w:r>
              <w:rPr>
                <w:rFonts w:hint="eastAsia" w:ascii="仿宋_GB2312" w:hAnsi="仿宋_GB2312" w:eastAsia="仿宋_GB2312" w:cs="仿宋_GB2312"/>
                <w:sz w:val="21"/>
              </w:rPr>
              <w:t>≥6米</w:t>
            </w:r>
          </w:p>
        </w:tc>
        <w:tc>
          <w:tcPr>
            <w:tcW w:w="1665" w:type="dxa"/>
          </w:tcPr>
          <w:p w14:paraId="119B01F4">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≥0.8H</w:t>
            </w:r>
            <w:r>
              <w:rPr>
                <w:rFonts w:hint="eastAsia" w:ascii="仿宋_GB2312" w:hAnsi="仿宋_GB2312" w:eastAsia="仿宋_GB2312" w:cs="仿宋_GB2312"/>
                <w:sz w:val="16"/>
                <w:szCs w:val="16"/>
              </w:rPr>
              <w:t>1且</w:t>
            </w:r>
            <w:r>
              <w:rPr>
                <w:rFonts w:hint="eastAsia" w:ascii="仿宋_GB2312" w:hAnsi="仿宋_GB2312" w:eastAsia="仿宋_GB2312" w:cs="仿宋_GB2312"/>
                <w:sz w:val="21"/>
              </w:rPr>
              <w:t>≥6米</w:t>
            </w:r>
          </w:p>
        </w:tc>
        <w:tc>
          <w:tcPr>
            <w:tcW w:w="3408" w:type="dxa"/>
            <w:vMerge w:val="continue"/>
            <w:shd w:val="clear" w:color="auto" w:fill="auto"/>
          </w:tcPr>
          <w:p w14:paraId="1A656622">
            <w:pPr>
              <w:snapToGrid/>
              <w:spacing w:line="240" w:lineRule="auto"/>
              <w:ind w:firstLine="0" w:firstLineChars="0"/>
              <w:rPr>
                <w:rFonts w:ascii="仿宋_GB2312" w:hAnsi="仿宋_GB2312" w:eastAsia="仿宋_GB2312" w:cs="仿宋_GB2312"/>
                <w:sz w:val="21"/>
              </w:rPr>
            </w:pPr>
          </w:p>
        </w:tc>
      </w:tr>
      <w:tr w14:paraId="2CC7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2AD492D1">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高层建筑与多、低层建筑垂直布置</w:t>
            </w:r>
          </w:p>
        </w:tc>
        <w:tc>
          <w:tcPr>
            <w:tcW w:w="1620" w:type="dxa"/>
            <w:shd w:val="clear" w:color="auto" w:fill="auto"/>
          </w:tcPr>
          <w:p w14:paraId="1C32ABB2">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L=（L1+L2）X0.5且≥13米</w:t>
            </w:r>
          </w:p>
        </w:tc>
        <w:tc>
          <w:tcPr>
            <w:tcW w:w="1665" w:type="dxa"/>
            <w:shd w:val="clear" w:color="auto" w:fill="auto"/>
          </w:tcPr>
          <w:p w14:paraId="3FFAFD64">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L=（L1+L2）X0.5且≥13米</w:t>
            </w:r>
          </w:p>
        </w:tc>
        <w:tc>
          <w:tcPr>
            <w:tcW w:w="3408" w:type="dxa"/>
            <w:vMerge w:val="restart"/>
          </w:tcPr>
          <w:p w14:paraId="4578E11A">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lang w:eastAsia="zh-CN"/>
              </w:rPr>
              <w:t>1.</w:t>
            </w:r>
            <w:r>
              <w:rPr>
                <w:rFonts w:hint="eastAsia" w:ascii="仿宋_GB2312" w:hAnsi="仿宋_GB2312" w:eastAsia="仿宋_GB2312" w:cs="仿宋_GB2312"/>
                <w:sz w:val="21"/>
              </w:rPr>
              <w:t>L1为建筑A与其同型建筑A东西向平行布置的间距；L2为建筑B与其同型建筑的山墙间距；</w:t>
            </w:r>
          </w:p>
          <w:p w14:paraId="79B631D7">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26285" cy="1118870"/>
                  <wp:effectExtent l="0" t="0" r="12065" b="5080"/>
                  <wp:docPr id="103" name="图片 103" descr="ea8b0c91292baed33d33185c3ddf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ea8b0c91292baed33d33185c3ddf504"/>
                          <pic:cNvPicPr>
                            <a:picLocks noChangeAspect="1"/>
                          </pic:cNvPicPr>
                        </pic:nvPicPr>
                        <pic:blipFill>
                          <a:blip r:embed="rId47"/>
                          <a:stretch>
                            <a:fillRect/>
                          </a:stretch>
                        </pic:blipFill>
                        <pic:spPr>
                          <a:xfrm>
                            <a:off x="0" y="0"/>
                            <a:ext cx="2026285" cy="1118870"/>
                          </a:xfrm>
                          <a:prstGeom prst="rect">
                            <a:avLst/>
                          </a:prstGeom>
                        </pic:spPr>
                      </pic:pic>
                    </a:graphicData>
                  </a:graphic>
                </wp:inline>
              </w:drawing>
            </w:r>
          </w:p>
        </w:tc>
      </w:tr>
      <w:tr w14:paraId="7332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14:paraId="45E02160">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高层建筑与高层建筑垂直布置</w:t>
            </w:r>
          </w:p>
        </w:tc>
        <w:tc>
          <w:tcPr>
            <w:tcW w:w="1620" w:type="dxa"/>
            <w:shd w:val="clear" w:color="auto" w:fill="auto"/>
          </w:tcPr>
          <w:p w14:paraId="28E459DC">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L=（L1+L2）X0.5且≥15米</w:t>
            </w:r>
          </w:p>
        </w:tc>
        <w:tc>
          <w:tcPr>
            <w:tcW w:w="1665" w:type="dxa"/>
            <w:shd w:val="clear" w:color="auto" w:fill="auto"/>
          </w:tcPr>
          <w:p w14:paraId="3A752127">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L=（L1+L2）X0.5且≥15米</w:t>
            </w:r>
          </w:p>
        </w:tc>
        <w:tc>
          <w:tcPr>
            <w:tcW w:w="3408" w:type="dxa"/>
            <w:vMerge w:val="continue"/>
          </w:tcPr>
          <w:p w14:paraId="5DDA92D2">
            <w:pPr>
              <w:snapToGrid/>
              <w:spacing w:line="240" w:lineRule="auto"/>
              <w:ind w:firstLine="0" w:firstLineChars="0"/>
              <w:rPr>
                <w:rFonts w:ascii="仿宋_GB2312" w:hAnsi="仿宋_GB2312" w:eastAsia="仿宋_GB2312" w:cs="仿宋_GB2312"/>
                <w:sz w:val="21"/>
              </w:rPr>
            </w:pPr>
          </w:p>
        </w:tc>
      </w:tr>
      <w:bookmarkEnd w:id="29"/>
      <w:bookmarkEnd w:id="30"/>
      <w:bookmarkEnd w:id="31"/>
    </w:tbl>
    <w:p w14:paraId="4F304D50">
      <w:pPr>
        <w:pStyle w:val="47"/>
        <w:ind w:firstLine="640" w:firstLineChars="200"/>
        <w:outlineLvl w:val="1"/>
        <w:rPr>
          <w:rFonts w:hint="default"/>
        </w:rPr>
      </w:pPr>
      <w:bookmarkStart w:id="32" w:name="_Toc9385"/>
      <w:bookmarkStart w:id="33" w:name="_Toc7303"/>
      <w:bookmarkStart w:id="34" w:name="_Toc23255"/>
      <w:bookmarkStart w:id="35" w:name="_Toc12922"/>
      <w:r>
        <w:t>二、建筑退让</w:t>
      </w:r>
      <w:bookmarkEnd w:id="32"/>
    </w:p>
    <w:p w14:paraId="2F17D244">
      <w:pPr>
        <w:spacing w:before="160" w:after="160"/>
        <w:ind w:firstLine="640"/>
      </w:pPr>
      <w:r>
        <w:rPr>
          <w:rFonts w:hint="eastAsia"/>
        </w:rPr>
        <w:t>（一）沿建设项目基地边界和沿城市道路、公路、河道、铁路两侧、山体以及电力线路保护区建设的建筑物，其退让距离除应当符合消防、防洪、环保、交通和安全等方面的要求外，还应当符合本规定要求。</w:t>
      </w:r>
    </w:p>
    <w:p w14:paraId="5F41596A">
      <w:pPr>
        <w:spacing w:before="160"/>
        <w:ind w:firstLine="640"/>
      </w:pPr>
      <w:r>
        <w:rPr>
          <w:rFonts w:hint="eastAsia"/>
        </w:rPr>
        <w:t>（二）沿建设项目基地边界的建筑物，其退让边界距离按照以下要求控制，并须同时满足消防间距控制要求。</w:t>
      </w:r>
    </w:p>
    <w:p w14:paraId="027C59E8">
      <w:pPr>
        <w:ind w:firstLine="640"/>
      </w:pPr>
      <w:r>
        <w:rPr>
          <w:rFonts w:hint="eastAsia"/>
        </w:rPr>
        <w:t>1</w:t>
      </w:r>
      <w:r>
        <w:rPr>
          <w:rFonts w:hint="eastAsia" w:ascii="宋体" w:hAnsi="宋体" w:eastAsia="宋体" w:cs="宋体"/>
        </w:rPr>
        <w:t>.</w:t>
      </w:r>
      <w:r>
        <w:rPr>
          <w:rFonts w:hint="eastAsia"/>
        </w:rPr>
        <w:t>各类建筑退让基地边界应当符合以下要求：</w:t>
      </w:r>
    </w:p>
    <w:p w14:paraId="7519591B">
      <w:pPr>
        <w:ind w:firstLine="640"/>
      </w:pPr>
      <w:r>
        <w:rPr>
          <w:rFonts w:hint="eastAsia"/>
        </w:rPr>
        <w:t>（1）各类建筑退让基地边界的最小距离不得小于表4。当建筑外墙与基地边界不平行布置的，应至临基地边界的外墙面最近点起计算自身一方的建筑间距（如下图）。</w:t>
      </w:r>
    </w:p>
    <w:p w14:paraId="7B871DF9">
      <w:pPr>
        <w:pStyle w:val="51"/>
        <w:rPr>
          <w:rFonts w:hint="default"/>
        </w:rPr>
      </w:pPr>
      <w:r>
        <w:drawing>
          <wp:inline distT="0" distB="0" distL="0" distR="0">
            <wp:extent cx="1695450" cy="132397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695450" cy="1323975"/>
                    </a:xfrm>
                    <a:prstGeom prst="rect">
                      <a:avLst/>
                    </a:prstGeom>
                    <a:noFill/>
                  </pic:spPr>
                </pic:pic>
              </a:graphicData>
            </a:graphic>
          </wp:inline>
        </w:drawing>
      </w:r>
    </w:p>
    <w:p w14:paraId="5FB240C6">
      <w:pPr>
        <w:pStyle w:val="13"/>
        <w:ind w:firstLine="640"/>
      </w:pPr>
    </w:p>
    <w:p w14:paraId="15C4FF8C">
      <w:pPr>
        <w:pStyle w:val="13"/>
        <w:ind w:firstLine="640"/>
      </w:pPr>
    </w:p>
    <w:p w14:paraId="74863149">
      <w:pPr>
        <w:pStyle w:val="13"/>
        <w:ind w:firstLine="640"/>
      </w:pPr>
    </w:p>
    <w:p w14:paraId="1A8A5491">
      <w:pPr>
        <w:pStyle w:val="13"/>
        <w:ind w:firstLine="640"/>
      </w:pPr>
    </w:p>
    <w:p w14:paraId="4F8C2F4B">
      <w:pPr>
        <w:pStyle w:val="13"/>
        <w:ind w:firstLine="640"/>
      </w:pPr>
    </w:p>
    <w:p w14:paraId="5AB57FA3">
      <w:pPr>
        <w:pStyle w:val="13"/>
        <w:ind w:firstLine="0" w:firstLineChars="0"/>
      </w:pPr>
    </w:p>
    <w:p w14:paraId="14467CD1">
      <w:pPr>
        <w:pStyle w:val="51"/>
        <w:spacing w:beforeLines="100"/>
        <w:rPr>
          <w:rFonts w:hint="default"/>
        </w:rPr>
      </w:pPr>
      <w:r>
        <w:t>表4 建筑退界控制指标表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76"/>
        <w:gridCol w:w="776"/>
        <w:gridCol w:w="776"/>
        <w:gridCol w:w="2176"/>
        <w:gridCol w:w="2176"/>
        <w:gridCol w:w="2176"/>
      </w:tblGrid>
      <w:tr w14:paraId="1FCEB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4" w:hRule="atLeast"/>
          <w:jc w:val="center"/>
        </w:trPr>
        <w:tc>
          <w:tcPr>
            <w:tcW w:w="0" w:type="auto"/>
            <w:gridSpan w:val="3"/>
            <w:vMerge w:val="restart"/>
            <w:tcBorders>
              <w:top w:val="single" w:color="auto" w:sz="12" w:space="0"/>
            </w:tcBorders>
            <w:vAlign w:val="center"/>
          </w:tcPr>
          <w:p w14:paraId="4B447588">
            <w:pPr>
              <w:pStyle w:val="51"/>
              <w:rPr>
                <w:rFonts w:hint="default"/>
              </w:rPr>
            </w:pPr>
          </w:p>
        </w:tc>
        <w:tc>
          <w:tcPr>
            <w:tcW w:w="0" w:type="auto"/>
            <w:tcBorders>
              <w:top w:val="single" w:color="auto" w:sz="12" w:space="0"/>
            </w:tcBorders>
            <w:vAlign w:val="center"/>
          </w:tcPr>
          <w:p w14:paraId="2DD94013">
            <w:pPr>
              <w:pStyle w:val="51"/>
              <w:rPr>
                <w:rFonts w:hint="default"/>
              </w:rPr>
            </w:pPr>
            <w:r>
              <w:t>住宅建筑</w:t>
            </w:r>
          </w:p>
        </w:tc>
        <w:tc>
          <w:tcPr>
            <w:tcW w:w="0" w:type="auto"/>
            <w:tcBorders>
              <w:top w:val="single" w:color="auto" w:sz="12" w:space="0"/>
            </w:tcBorders>
            <w:vAlign w:val="center"/>
          </w:tcPr>
          <w:p w14:paraId="0BB1C429">
            <w:pPr>
              <w:pStyle w:val="51"/>
              <w:rPr>
                <w:rFonts w:hint="default"/>
              </w:rPr>
            </w:pPr>
            <w:r>
              <w:t>文教卫生建筑</w:t>
            </w:r>
          </w:p>
        </w:tc>
        <w:tc>
          <w:tcPr>
            <w:tcW w:w="0" w:type="auto"/>
            <w:tcBorders>
              <w:top w:val="single" w:color="auto" w:sz="12" w:space="0"/>
            </w:tcBorders>
            <w:vAlign w:val="center"/>
          </w:tcPr>
          <w:p w14:paraId="18449296">
            <w:pPr>
              <w:pStyle w:val="51"/>
              <w:rPr>
                <w:rFonts w:hint="default"/>
              </w:rPr>
            </w:pPr>
            <w:r>
              <w:t>其他非住宅建筑</w:t>
            </w:r>
          </w:p>
        </w:tc>
      </w:tr>
      <w:tr w14:paraId="5F5C1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6" w:hRule="atLeast"/>
          <w:jc w:val="center"/>
        </w:trPr>
        <w:tc>
          <w:tcPr>
            <w:tcW w:w="0" w:type="auto"/>
            <w:gridSpan w:val="3"/>
            <w:vMerge w:val="continue"/>
            <w:vAlign w:val="center"/>
          </w:tcPr>
          <w:p w14:paraId="0A456AF9">
            <w:pPr>
              <w:pStyle w:val="51"/>
              <w:rPr>
                <w:rFonts w:hint="default"/>
              </w:rPr>
            </w:pPr>
          </w:p>
        </w:tc>
        <w:tc>
          <w:tcPr>
            <w:tcW w:w="0" w:type="auto"/>
            <w:vAlign w:val="center"/>
          </w:tcPr>
          <w:p w14:paraId="7FE5AD49">
            <w:pPr>
              <w:pStyle w:val="51"/>
              <w:rPr>
                <w:rFonts w:hint="default"/>
              </w:rPr>
            </w:pPr>
            <w:r>
              <w:t>最小距离</w:t>
            </w:r>
            <w:r>
              <w:rPr>
                <w:rFonts w:hint="eastAsia"/>
                <w:lang w:eastAsia="zh-CN"/>
              </w:rPr>
              <w:t>（</w:t>
            </w:r>
            <w:r>
              <w:t>米）</w:t>
            </w:r>
          </w:p>
        </w:tc>
        <w:tc>
          <w:tcPr>
            <w:tcW w:w="0" w:type="auto"/>
            <w:vAlign w:val="center"/>
          </w:tcPr>
          <w:p w14:paraId="6DF2ABF3">
            <w:pPr>
              <w:pStyle w:val="51"/>
              <w:rPr>
                <w:rFonts w:hint="default"/>
              </w:rPr>
            </w:pPr>
            <w:r>
              <w:t>最小距离（米）</w:t>
            </w:r>
          </w:p>
        </w:tc>
        <w:tc>
          <w:tcPr>
            <w:tcW w:w="0" w:type="auto"/>
            <w:vAlign w:val="center"/>
          </w:tcPr>
          <w:p w14:paraId="24A43643">
            <w:pPr>
              <w:pStyle w:val="51"/>
              <w:rPr>
                <w:rFonts w:hint="default"/>
              </w:rPr>
            </w:pPr>
            <w:r>
              <w:t>最小距离</w:t>
            </w:r>
          </w:p>
          <w:p w14:paraId="1865326D">
            <w:pPr>
              <w:pStyle w:val="51"/>
              <w:rPr>
                <w:rFonts w:hint="default"/>
              </w:rPr>
            </w:pPr>
            <w:r>
              <w:t>（米）</w:t>
            </w:r>
          </w:p>
        </w:tc>
      </w:tr>
      <w:tr w14:paraId="72A4F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5" w:hRule="atLeast"/>
          <w:jc w:val="center"/>
        </w:trPr>
        <w:tc>
          <w:tcPr>
            <w:tcW w:w="0" w:type="auto"/>
            <w:vMerge w:val="restart"/>
            <w:vAlign w:val="center"/>
          </w:tcPr>
          <w:p w14:paraId="5D8A178C">
            <w:pPr>
              <w:pStyle w:val="51"/>
              <w:rPr>
                <w:rFonts w:hint="default"/>
              </w:rPr>
            </w:pPr>
            <w:r>
              <w:t>旧区</w:t>
            </w:r>
          </w:p>
        </w:tc>
        <w:tc>
          <w:tcPr>
            <w:tcW w:w="0" w:type="auto"/>
            <w:vMerge w:val="restart"/>
            <w:vAlign w:val="center"/>
          </w:tcPr>
          <w:p w14:paraId="0ABD96FD">
            <w:pPr>
              <w:pStyle w:val="51"/>
              <w:rPr>
                <w:rFonts w:hint="default"/>
              </w:rPr>
            </w:pPr>
            <w:r>
              <w:t>主要</w:t>
            </w:r>
          </w:p>
          <w:p w14:paraId="298FD6A2">
            <w:pPr>
              <w:pStyle w:val="51"/>
              <w:rPr>
                <w:rFonts w:hint="default"/>
              </w:rPr>
            </w:pPr>
            <w:r>
              <w:t>朝向</w:t>
            </w:r>
          </w:p>
        </w:tc>
        <w:tc>
          <w:tcPr>
            <w:tcW w:w="0" w:type="auto"/>
            <w:vAlign w:val="center"/>
          </w:tcPr>
          <w:p w14:paraId="5D0C94DA">
            <w:pPr>
              <w:pStyle w:val="51"/>
              <w:rPr>
                <w:rFonts w:hint="default"/>
              </w:rPr>
            </w:pPr>
            <w:r>
              <w:t>低层</w:t>
            </w:r>
          </w:p>
        </w:tc>
        <w:tc>
          <w:tcPr>
            <w:tcW w:w="0" w:type="auto"/>
            <w:vAlign w:val="center"/>
          </w:tcPr>
          <w:p w14:paraId="65B5F22B">
            <w:pPr>
              <w:pStyle w:val="51"/>
              <w:rPr>
                <w:rFonts w:hint="default"/>
              </w:rPr>
            </w:pPr>
            <w:r>
              <w:t>3</w:t>
            </w:r>
          </w:p>
        </w:tc>
        <w:tc>
          <w:tcPr>
            <w:tcW w:w="0" w:type="auto"/>
            <w:vAlign w:val="center"/>
          </w:tcPr>
          <w:p w14:paraId="08766B2D">
            <w:pPr>
              <w:pStyle w:val="51"/>
              <w:rPr>
                <w:rFonts w:hint="default"/>
              </w:rPr>
            </w:pPr>
            <w:r>
              <w:t>4</w:t>
            </w:r>
          </w:p>
        </w:tc>
        <w:tc>
          <w:tcPr>
            <w:tcW w:w="0" w:type="auto"/>
            <w:vAlign w:val="center"/>
          </w:tcPr>
          <w:p w14:paraId="39DA83B9">
            <w:pPr>
              <w:pStyle w:val="51"/>
              <w:rPr>
                <w:rFonts w:hint="default"/>
              </w:rPr>
            </w:pPr>
            <w:r>
              <w:t>3</w:t>
            </w:r>
          </w:p>
        </w:tc>
      </w:tr>
      <w:tr w14:paraId="5943A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4" w:hRule="atLeast"/>
          <w:jc w:val="center"/>
        </w:trPr>
        <w:tc>
          <w:tcPr>
            <w:tcW w:w="0" w:type="auto"/>
            <w:vMerge w:val="continue"/>
            <w:vAlign w:val="center"/>
          </w:tcPr>
          <w:p w14:paraId="7DE8B113">
            <w:pPr>
              <w:pStyle w:val="51"/>
              <w:rPr>
                <w:rFonts w:hint="default"/>
              </w:rPr>
            </w:pPr>
          </w:p>
        </w:tc>
        <w:tc>
          <w:tcPr>
            <w:tcW w:w="0" w:type="auto"/>
            <w:vMerge w:val="continue"/>
            <w:vAlign w:val="center"/>
          </w:tcPr>
          <w:p w14:paraId="08FA6988">
            <w:pPr>
              <w:pStyle w:val="51"/>
              <w:rPr>
                <w:rFonts w:hint="default"/>
              </w:rPr>
            </w:pPr>
          </w:p>
        </w:tc>
        <w:tc>
          <w:tcPr>
            <w:tcW w:w="0" w:type="auto"/>
            <w:vAlign w:val="center"/>
          </w:tcPr>
          <w:p w14:paraId="5D46FE1E">
            <w:pPr>
              <w:pStyle w:val="51"/>
              <w:rPr>
                <w:rFonts w:hint="default"/>
              </w:rPr>
            </w:pPr>
            <w:r>
              <w:t>多层</w:t>
            </w:r>
          </w:p>
        </w:tc>
        <w:tc>
          <w:tcPr>
            <w:tcW w:w="0" w:type="auto"/>
            <w:vAlign w:val="center"/>
          </w:tcPr>
          <w:p w14:paraId="702DF31A">
            <w:pPr>
              <w:pStyle w:val="51"/>
              <w:rPr>
                <w:rFonts w:hint="default"/>
              </w:rPr>
            </w:pPr>
            <w:r>
              <w:t>6</w:t>
            </w:r>
          </w:p>
        </w:tc>
        <w:tc>
          <w:tcPr>
            <w:tcW w:w="0" w:type="auto"/>
            <w:vAlign w:val="center"/>
          </w:tcPr>
          <w:p w14:paraId="41A7C2FE">
            <w:pPr>
              <w:pStyle w:val="51"/>
              <w:rPr>
                <w:rFonts w:hint="default"/>
              </w:rPr>
            </w:pPr>
            <w:r>
              <w:t>7</w:t>
            </w:r>
          </w:p>
        </w:tc>
        <w:tc>
          <w:tcPr>
            <w:tcW w:w="0" w:type="auto"/>
            <w:vAlign w:val="center"/>
          </w:tcPr>
          <w:p w14:paraId="18B388D7">
            <w:pPr>
              <w:pStyle w:val="51"/>
              <w:rPr>
                <w:rFonts w:hint="default"/>
              </w:rPr>
            </w:pPr>
            <w:r>
              <w:t>5</w:t>
            </w:r>
          </w:p>
        </w:tc>
      </w:tr>
      <w:tr w14:paraId="1503A1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0" w:type="auto"/>
            <w:vMerge w:val="continue"/>
            <w:vAlign w:val="center"/>
          </w:tcPr>
          <w:p w14:paraId="071A00B2">
            <w:pPr>
              <w:pStyle w:val="51"/>
              <w:rPr>
                <w:rFonts w:hint="default"/>
              </w:rPr>
            </w:pPr>
          </w:p>
        </w:tc>
        <w:tc>
          <w:tcPr>
            <w:tcW w:w="0" w:type="auto"/>
            <w:vMerge w:val="continue"/>
            <w:vAlign w:val="center"/>
          </w:tcPr>
          <w:p w14:paraId="505ADDA1">
            <w:pPr>
              <w:pStyle w:val="51"/>
              <w:rPr>
                <w:rFonts w:hint="default"/>
              </w:rPr>
            </w:pPr>
          </w:p>
        </w:tc>
        <w:tc>
          <w:tcPr>
            <w:tcW w:w="0" w:type="auto"/>
            <w:vAlign w:val="center"/>
          </w:tcPr>
          <w:p w14:paraId="1C3256F8">
            <w:pPr>
              <w:pStyle w:val="51"/>
              <w:rPr>
                <w:rFonts w:hint="default"/>
              </w:rPr>
            </w:pPr>
            <w:r>
              <w:t>高层</w:t>
            </w:r>
          </w:p>
        </w:tc>
        <w:tc>
          <w:tcPr>
            <w:tcW w:w="0" w:type="auto"/>
            <w:vAlign w:val="center"/>
          </w:tcPr>
          <w:p w14:paraId="26C7C192">
            <w:pPr>
              <w:pStyle w:val="51"/>
              <w:rPr>
                <w:rFonts w:hint="default"/>
              </w:rPr>
            </w:pPr>
            <w:r>
              <w:t xml:space="preserve">15 </w:t>
            </w:r>
          </w:p>
        </w:tc>
        <w:tc>
          <w:tcPr>
            <w:tcW w:w="0" w:type="auto"/>
            <w:vAlign w:val="center"/>
          </w:tcPr>
          <w:p w14:paraId="34CFF970">
            <w:pPr>
              <w:pStyle w:val="51"/>
              <w:rPr>
                <w:rFonts w:hint="default"/>
              </w:rPr>
            </w:pPr>
            <w:r>
              <w:t>14</w:t>
            </w:r>
          </w:p>
        </w:tc>
        <w:tc>
          <w:tcPr>
            <w:tcW w:w="0" w:type="auto"/>
            <w:vAlign w:val="center"/>
          </w:tcPr>
          <w:p w14:paraId="0E5DF900">
            <w:pPr>
              <w:pStyle w:val="51"/>
              <w:rPr>
                <w:rFonts w:hint="default"/>
              </w:rPr>
            </w:pPr>
            <w:r>
              <w:t>9</w:t>
            </w:r>
          </w:p>
        </w:tc>
      </w:tr>
      <w:tr w14:paraId="544F9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3" w:hRule="atLeast"/>
          <w:jc w:val="center"/>
        </w:trPr>
        <w:tc>
          <w:tcPr>
            <w:tcW w:w="0" w:type="auto"/>
            <w:vMerge w:val="continue"/>
            <w:vAlign w:val="center"/>
          </w:tcPr>
          <w:p w14:paraId="1BDFFB96">
            <w:pPr>
              <w:pStyle w:val="51"/>
              <w:rPr>
                <w:rFonts w:hint="default"/>
              </w:rPr>
            </w:pPr>
          </w:p>
        </w:tc>
        <w:tc>
          <w:tcPr>
            <w:tcW w:w="0" w:type="auto"/>
            <w:vMerge w:val="restart"/>
            <w:vAlign w:val="center"/>
          </w:tcPr>
          <w:p w14:paraId="29175522">
            <w:pPr>
              <w:pStyle w:val="51"/>
              <w:rPr>
                <w:rFonts w:hint="default"/>
              </w:rPr>
            </w:pPr>
            <w:r>
              <w:t>次要</w:t>
            </w:r>
          </w:p>
          <w:p w14:paraId="4998AE8E">
            <w:pPr>
              <w:pStyle w:val="51"/>
              <w:rPr>
                <w:rFonts w:hint="default"/>
              </w:rPr>
            </w:pPr>
            <w:r>
              <w:t>朝向</w:t>
            </w:r>
          </w:p>
        </w:tc>
        <w:tc>
          <w:tcPr>
            <w:tcW w:w="0" w:type="auto"/>
            <w:vAlign w:val="center"/>
          </w:tcPr>
          <w:p w14:paraId="66ACED51">
            <w:pPr>
              <w:pStyle w:val="51"/>
              <w:rPr>
                <w:rFonts w:hint="default"/>
              </w:rPr>
            </w:pPr>
            <w:r>
              <w:t>低层</w:t>
            </w:r>
          </w:p>
        </w:tc>
        <w:tc>
          <w:tcPr>
            <w:tcW w:w="0" w:type="auto"/>
            <w:vAlign w:val="center"/>
          </w:tcPr>
          <w:p w14:paraId="4601F747">
            <w:pPr>
              <w:pStyle w:val="51"/>
              <w:rPr>
                <w:rFonts w:hint="default"/>
              </w:rPr>
            </w:pPr>
            <w:r>
              <w:t>3</w:t>
            </w:r>
          </w:p>
        </w:tc>
        <w:tc>
          <w:tcPr>
            <w:tcW w:w="0" w:type="auto"/>
            <w:vAlign w:val="center"/>
          </w:tcPr>
          <w:p w14:paraId="235C1D0E">
            <w:pPr>
              <w:pStyle w:val="51"/>
              <w:rPr>
                <w:rFonts w:hint="default"/>
              </w:rPr>
            </w:pPr>
            <w:r>
              <w:t>3</w:t>
            </w:r>
          </w:p>
        </w:tc>
        <w:tc>
          <w:tcPr>
            <w:tcW w:w="0" w:type="auto"/>
            <w:vAlign w:val="center"/>
          </w:tcPr>
          <w:p w14:paraId="4BF3C7A3">
            <w:pPr>
              <w:pStyle w:val="51"/>
              <w:rPr>
                <w:rFonts w:hint="default"/>
              </w:rPr>
            </w:pPr>
            <w:r>
              <w:t>3</w:t>
            </w:r>
          </w:p>
        </w:tc>
      </w:tr>
      <w:tr w14:paraId="084BF2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1" w:hRule="atLeast"/>
          <w:jc w:val="center"/>
        </w:trPr>
        <w:tc>
          <w:tcPr>
            <w:tcW w:w="0" w:type="auto"/>
            <w:vMerge w:val="continue"/>
            <w:vAlign w:val="center"/>
          </w:tcPr>
          <w:p w14:paraId="5D3EA8BF">
            <w:pPr>
              <w:pStyle w:val="51"/>
              <w:rPr>
                <w:rFonts w:hint="default"/>
              </w:rPr>
            </w:pPr>
          </w:p>
        </w:tc>
        <w:tc>
          <w:tcPr>
            <w:tcW w:w="0" w:type="auto"/>
            <w:vMerge w:val="continue"/>
            <w:vAlign w:val="center"/>
          </w:tcPr>
          <w:p w14:paraId="008B02AD">
            <w:pPr>
              <w:pStyle w:val="51"/>
              <w:rPr>
                <w:rFonts w:hint="default"/>
              </w:rPr>
            </w:pPr>
          </w:p>
        </w:tc>
        <w:tc>
          <w:tcPr>
            <w:tcW w:w="0" w:type="auto"/>
            <w:vAlign w:val="center"/>
          </w:tcPr>
          <w:p w14:paraId="7DD367F1">
            <w:pPr>
              <w:pStyle w:val="51"/>
              <w:rPr>
                <w:rFonts w:hint="default"/>
              </w:rPr>
            </w:pPr>
            <w:r>
              <w:t>多层</w:t>
            </w:r>
          </w:p>
        </w:tc>
        <w:tc>
          <w:tcPr>
            <w:tcW w:w="0" w:type="auto"/>
            <w:vAlign w:val="center"/>
          </w:tcPr>
          <w:p w14:paraId="346D8384">
            <w:pPr>
              <w:pStyle w:val="51"/>
              <w:rPr>
                <w:rFonts w:hint="default"/>
              </w:rPr>
            </w:pPr>
            <w:r>
              <w:t>3</w:t>
            </w:r>
          </w:p>
        </w:tc>
        <w:tc>
          <w:tcPr>
            <w:tcW w:w="0" w:type="auto"/>
            <w:vAlign w:val="center"/>
          </w:tcPr>
          <w:p w14:paraId="1EAD6B8F">
            <w:pPr>
              <w:pStyle w:val="51"/>
              <w:rPr>
                <w:rFonts w:hint="default"/>
              </w:rPr>
            </w:pPr>
            <w:r>
              <w:t>4</w:t>
            </w:r>
          </w:p>
        </w:tc>
        <w:tc>
          <w:tcPr>
            <w:tcW w:w="0" w:type="auto"/>
            <w:vAlign w:val="center"/>
          </w:tcPr>
          <w:p w14:paraId="32473A33">
            <w:pPr>
              <w:pStyle w:val="51"/>
              <w:rPr>
                <w:rFonts w:hint="default"/>
              </w:rPr>
            </w:pPr>
            <w:r>
              <w:t>3</w:t>
            </w:r>
          </w:p>
        </w:tc>
      </w:tr>
      <w:tr w14:paraId="2741D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0" w:hRule="atLeast"/>
          <w:jc w:val="center"/>
        </w:trPr>
        <w:tc>
          <w:tcPr>
            <w:tcW w:w="0" w:type="auto"/>
            <w:vMerge w:val="continue"/>
            <w:vAlign w:val="center"/>
          </w:tcPr>
          <w:p w14:paraId="4CF47226">
            <w:pPr>
              <w:pStyle w:val="51"/>
              <w:rPr>
                <w:rFonts w:hint="default"/>
              </w:rPr>
            </w:pPr>
          </w:p>
        </w:tc>
        <w:tc>
          <w:tcPr>
            <w:tcW w:w="0" w:type="auto"/>
            <w:vMerge w:val="continue"/>
            <w:vAlign w:val="center"/>
          </w:tcPr>
          <w:p w14:paraId="3C828136">
            <w:pPr>
              <w:pStyle w:val="51"/>
              <w:rPr>
                <w:rFonts w:hint="default"/>
              </w:rPr>
            </w:pPr>
          </w:p>
        </w:tc>
        <w:tc>
          <w:tcPr>
            <w:tcW w:w="0" w:type="auto"/>
            <w:vAlign w:val="center"/>
          </w:tcPr>
          <w:p w14:paraId="65E8132B">
            <w:pPr>
              <w:pStyle w:val="51"/>
              <w:rPr>
                <w:rFonts w:hint="default"/>
              </w:rPr>
            </w:pPr>
            <w:r>
              <w:t>高层</w:t>
            </w:r>
          </w:p>
        </w:tc>
        <w:tc>
          <w:tcPr>
            <w:tcW w:w="0" w:type="auto"/>
            <w:vAlign w:val="center"/>
          </w:tcPr>
          <w:p w14:paraId="4D465738">
            <w:pPr>
              <w:pStyle w:val="51"/>
              <w:rPr>
                <w:rFonts w:hint="default"/>
              </w:rPr>
            </w:pPr>
            <w:r>
              <w:t>9</w:t>
            </w:r>
          </w:p>
        </w:tc>
        <w:tc>
          <w:tcPr>
            <w:tcW w:w="0" w:type="auto"/>
            <w:vAlign w:val="center"/>
          </w:tcPr>
          <w:p w14:paraId="1DA7CD32">
            <w:pPr>
              <w:pStyle w:val="51"/>
              <w:rPr>
                <w:rFonts w:hint="default"/>
              </w:rPr>
            </w:pPr>
            <w:r>
              <w:t>9</w:t>
            </w:r>
          </w:p>
        </w:tc>
        <w:tc>
          <w:tcPr>
            <w:tcW w:w="0" w:type="auto"/>
            <w:vAlign w:val="center"/>
          </w:tcPr>
          <w:p w14:paraId="55DA1500">
            <w:pPr>
              <w:pStyle w:val="51"/>
              <w:rPr>
                <w:rFonts w:hint="default"/>
              </w:rPr>
            </w:pPr>
            <w:r>
              <w:t>9</w:t>
            </w:r>
          </w:p>
        </w:tc>
      </w:tr>
      <w:tr w14:paraId="2B58C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2" w:hRule="atLeast"/>
          <w:jc w:val="center"/>
        </w:trPr>
        <w:tc>
          <w:tcPr>
            <w:tcW w:w="0" w:type="auto"/>
            <w:vMerge w:val="restart"/>
            <w:vAlign w:val="center"/>
          </w:tcPr>
          <w:p w14:paraId="7EF902DB">
            <w:pPr>
              <w:pStyle w:val="51"/>
              <w:rPr>
                <w:rFonts w:hint="default"/>
              </w:rPr>
            </w:pPr>
            <w:r>
              <w:t>新区</w:t>
            </w:r>
          </w:p>
        </w:tc>
        <w:tc>
          <w:tcPr>
            <w:tcW w:w="0" w:type="auto"/>
            <w:vMerge w:val="restart"/>
            <w:vAlign w:val="center"/>
          </w:tcPr>
          <w:p w14:paraId="75E17C9E">
            <w:pPr>
              <w:pStyle w:val="51"/>
              <w:rPr>
                <w:rFonts w:hint="default"/>
              </w:rPr>
            </w:pPr>
            <w:r>
              <w:t>主要</w:t>
            </w:r>
          </w:p>
          <w:p w14:paraId="3D5DEDAA">
            <w:pPr>
              <w:pStyle w:val="51"/>
              <w:rPr>
                <w:rFonts w:hint="default"/>
              </w:rPr>
            </w:pPr>
            <w:r>
              <w:t>朝向</w:t>
            </w:r>
          </w:p>
        </w:tc>
        <w:tc>
          <w:tcPr>
            <w:tcW w:w="0" w:type="auto"/>
            <w:vAlign w:val="center"/>
          </w:tcPr>
          <w:p w14:paraId="3AFBBEAB">
            <w:pPr>
              <w:pStyle w:val="51"/>
              <w:rPr>
                <w:rFonts w:hint="default"/>
              </w:rPr>
            </w:pPr>
            <w:r>
              <w:t>低层</w:t>
            </w:r>
          </w:p>
        </w:tc>
        <w:tc>
          <w:tcPr>
            <w:tcW w:w="0" w:type="auto"/>
            <w:vAlign w:val="center"/>
          </w:tcPr>
          <w:p w14:paraId="676A3DFE">
            <w:pPr>
              <w:pStyle w:val="51"/>
              <w:rPr>
                <w:rFonts w:hint="default"/>
              </w:rPr>
            </w:pPr>
            <w:r>
              <w:t>4</w:t>
            </w:r>
          </w:p>
        </w:tc>
        <w:tc>
          <w:tcPr>
            <w:tcW w:w="0" w:type="auto"/>
            <w:vAlign w:val="center"/>
          </w:tcPr>
          <w:p w14:paraId="6F895B79">
            <w:pPr>
              <w:pStyle w:val="51"/>
              <w:rPr>
                <w:rFonts w:hint="default"/>
              </w:rPr>
            </w:pPr>
            <w:r>
              <w:t>5</w:t>
            </w:r>
          </w:p>
        </w:tc>
        <w:tc>
          <w:tcPr>
            <w:tcW w:w="0" w:type="auto"/>
            <w:vAlign w:val="center"/>
          </w:tcPr>
          <w:p w14:paraId="1E56BEAE">
            <w:pPr>
              <w:pStyle w:val="51"/>
              <w:rPr>
                <w:rFonts w:hint="default"/>
              </w:rPr>
            </w:pPr>
            <w:r>
              <w:t>3</w:t>
            </w:r>
          </w:p>
        </w:tc>
      </w:tr>
      <w:tr w14:paraId="354004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33" w:hRule="atLeast"/>
          <w:jc w:val="center"/>
        </w:trPr>
        <w:tc>
          <w:tcPr>
            <w:tcW w:w="0" w:type="auto"/>
            <w:vMerge w:val="continue"/>
            <w:vAlign w:val="center"/>
          </w:tcPr>
          <w:p w14:paraId="457FE51A">
            <w:pPr>
              <w:pStyle w:val="51"/>
              <w:rPr>
                <w:rFonts w:hint="default"/>
              </w:rPr>
            </w:pPr>
          </w:p>
        </w:tc>
        <w:tc>
          <w:tcPr>
            <w:tcW w:w="0" w:type="auto"/>
            <w:vMerge w:val="continue"/>
            <w:vAlign w:val="center"/>
          </w:tcPr>
          <w:p w14:paraId="2775FCC1">
            <w:pPr>
              <w:pStyle w:val="51"/>
              <w:rPr>
                <w:rFonts w:hint="default"/>
              </w:rPr>
            </w:pPr>
          </w:p>
        </w:tc>
        <w:tc>
          <w:tcPr>
            <w:tcW w:w="0" w:type="auto"/>
            <w:vAlign w:val="center"/>
          </w:tcPr>
          <w:p w14:paraId="51CAC03D">
            <w:pPr>
              <w:pStyle w:val="51"/>
              <w:rPr>
                <w:rFonts w:hint="default"/>
              </w:rPr>
            </w:pPr>
            <w:r>
              <w:t>多层</w:t>
            </w:r>
          </w:p>
        </w:tc>
        <w:tc>
          <w:tcPr>
            <w:tcW w:w="0" w:type="auto"/>
            <w:vAlign w:val="center"/>
          </w:tcPr>
          <w:p w14:paraId="04FDE48C">
            <w:pPr>
              <w:pStyle w:val="51"/>
              <w:rPr>
                <w:rFonts w:hint="default"/>
              </w:rPr>
            </w:pPr>
            <w:r>
              <w:t>7</w:t>
            </w:r>
          </w:p>
        </w:tc>
        <w:tc>
          <w:tcPr>
            <w:tcW w:w="0" w:type="auto"/>
            <w:vAlign w:val="center"/>
          </w:tcPr>
          <w:p w14:paraId="02ED1DC6">
            <w:pPr>
              <w:pStyle w:val="51"/>
              <w:rPr>
                <w:rFonts w:hint="default"/>
              </w:rPr>
            </w:pPr>
            <w:r>
              <w:t>8</w:t>
            </w:r>
          </w:p>
        </w:tc>
        <w:tc>
          <w:tcPr>
            <w:tcW w:w="0" w:type="auto"/>
            <w:vAlign w:val="center"/>
          </w:tcPr>
          <w:p w14:paraId="0B358EE7">
            <w:pPr>
              <w:pStyle w:val="51"/>
              <w:rPr>
                <w:rFonts w:hint="default"/>
              </w:rPr>
            </w:pPr>
            <w:r>
              <w:t>6</w:t>
            </w:r>
          </w:p>
        </w:tc>
      </w:tr>
      <w:tr w14:paraId="131AE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1" w:hRule="atLeast"/>
          <w:jc w:val="center"/>
        </w:trPr>
        <w:tc>
          <w:tcPr>
            <w:tcW w:w="0" w:type="auto"/>
            <w:vMerge w:val="continue"/>
            <w:vAlign w:val="center"/>
          </w:tcPr>
          <w:p w14:paraId="17BC1420">
            <w:pPr>
              <w:pStyle w:val="51"/>
              <w:rPr>
                <w:rFonts w:hint="default"/>
              </w:rPr>
            </w:pPr>
          </w:p>
        </w:tc>
        <w:tc>
          <w:tcPr>
            <w:tcW w:w="0" w:type="auto"/>
            <w:vMerge w:val="continue"/>
            <w:vAlign w:val="center"/>
          </w:tcPr>
          <w:p w14:paraId="4AFBB126">
            <w:pPr>
              <w:pStyle w:val="51"/>
              <w:rPr>
                <w:rFonts w:hint="default"/>
              </w:rPr>
            </w:pPr>
          </w:p>
        </w:tc>
        <w:tc>
          <w:tcPr>
            <w:tcW w:w="0" w:type="auto"/>
            <w:vAlign w:val="center"/>
          </w:tcPr>
          <w:p w14:paraId="7DC99600">
            <w:pPr>
              <w:pStyle w:val="51"/>
              <w:rPr>
                <w:rFonts w:hint="default"/>
              </w:rPr>
            </w:pPr>
            <w:r>
              <w:t>高层</w:t>
            </w:r>
          </w:p>
        </w:tc>
        <w:tc>
          <w:tcPr>
            <w:tcW w:w="0" w:type="auto"/>
            <w:vAlign w:val="center"/>
          </w:tcPr>
          <w:p w14:paraId="54BBCC76">
            <w:pPr>
              <w:pStyle w:val="51"/>
              <w:rPr>
                <w:rFonts w:hint="default"/>
              </w:rPr>
            </w:pPr>
            <w:r>
              <w:t>15</w:t>
            </w:r>
          </w:p>
        </w:tc>
        <w:tc>
          <w:tcPr>
            <w:tcW w:w="0" w:type="auto"/>
            <w:vAlign w:val="center"/>
          </w:tcPr>
          <w:p w14:paraId="737ABFEC">
            <w:pPr>
              <w:pStyle w:val="51"/>
              <w:rPr>
                <w:rFonts w:hint="default"/>
              </w:rPr>
            </w:pPr>
            <w:r>
              <w:t>16</w:t>
            </w:r>
          </w:p>
        </w:tc>
        <w:tc>
          <w:tcPr>
            <w:tcW w:w="0" w:type="auto"/>
            <w:vAlign w:val="center"/>
          </w:tcPr>
          <w:p w14:paraId="0E7541D9">
            <w:pPr>
              <w:pStyle w:val="51"/>
              <w:rPr>
                <w:rFonts w:hint="default"/>
              </w:rPr>
            </w:pPr>
            <w:r>
              <w:t>10</w:t>
            </w:r>
          </w:p>
        </w:tc>
      </w:tr>
      <w:tr w14:paraId="3CADF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jc w:val="center"/>
        </w:trPr>
        <w:tc>
          <w:tcPr>
            <w:tcW w:w="0" w:type="auto"/>
            <w:vMerge w:val="continue"/>
            <w:vAlign w:val="center"/>
          </w:tcPr>
          <w:p w14:paraId="689FF15C">
            <w:pPr>
              <w:pStyle w:val="51"/>
              <w:rPr>
                <w:rFonts w:hint="default"/>
              </w:rPr>
            </w:pPr>
          </w:p>
        </w:tc>
        <w:tc>
          <w:tcPr>
            <w:tcW w:w="0" w:type="auto"/>
            <w:vMerge w:val="restart"/>
            <w:vAlign w:val="center"/>
          </w:tcPr>
          <w:p w14:paraId="3B0D1EDA">
            <w:pPr>
              <w:pStyle w:val="51"/>
              <w:rPr>
                <w:rFonts w:hint="default"/>
              </w:rPr>
            </w:pPr>
            <w:r>
              <w:t>次要</w:t>
            </w:r>
          </w:p>
          <w:p w14:paraId="5BA2EC17">
            <w:pPr>
              <w:pStyle w:val="51"/>
              <w:rPr>
                <w:rFonts w:hint="default"/>
              </w:rPr>
            </w:pPr>
            <w:r>
              <w:t>朝向</w:t>
            </w:r>
          </w:p>
        </w:tc>
        <w:tc>
          <w:tcPr>
            <w:tcW w:w="0" w:type="auto"/>
            <w:vAlign w:val="center"/>
          </w:tcPr>
          <w:p w14:paraId="3583C6CD">
            <w:pPr>
              <w:pStyle w:val="51"/>
              <w:rPr>
                <w:rFonts w:hint="default"/>
              </w:rPr>
            </w:pPr>
            <w:r>
              <w:t>低层</w:t>
            </w:r>
          </w:p>
        </w:tc>
        <w:tc>
          <w:tcPr>
            <w:tcW w:w="0" w:type="auto"/>
            <w:vAlign w:val="center"/>
          </w:tcPr>
          <w:p w14:paraId="11D285DD">
            <w:pPr>
              <w:pStyle w:val="51"/>
              <w:rPr>
                <w:rFonts w:hint="default"/>
              </w:rPr>
            </w:pPr>
            <w:r>
              <w:t>3</w:t>
            </w:r>
          </w:p>
        </w:tc>
        <w:tc>
          <w:tcPr>
            <w:tcW w:w="0" w:type="auto"/>
            <w:vAlign w:val="center"/>
          </w:tcPr>
          <w:p w14:paraId="7BE9760A">
            <w:pPr>
              <w:pStyle w:val="51"/>
              <w:rPr>
                <w:rFonts w:hint="default"/>
              </w:rPr>
            </w:pPr>
            <w:r>
              <w:t>3</w:t>
            </w:r>
          </w:p>
        </w:tc>
        <w:tc>
          <w:tcPr>
            <w:tcW w:w="0" w:type="auto"/>
            <w:vAlign w:val="center"/>
          </w:tcPr>
          <w:p w14:paraId="62A0091C">
            <w:pPr>
              <w:pStyle w:val="51"/>
              <w:rPr>
                <w:rFonts w:hint="default"/>
              </w:rPr>
            </w:pPr>
            <w:r>
              <w:t>3</w:t>
            </w:r>
          </w:p>
        </w:tc>
      </w:tr>
      <w:tr w14:paraId="5D979F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8" w:hRule="atLeast"/>
          <w:jc w:val="center"/>
        </w:trPr>
        <w:tc>
          <w:tcPr>
            <w:tcW w:w="0" w:type="auto"/>
            <w:vMerge w:val="continue"/>
            <w:vAlign w:val="center"/>
          </w:tcPr>
          <w:p w14:paraId="61BE41ED">
            <w:pPr>
              <w:pStyle w:val="51"/>
              <w:rPr>
                <w:rFonts w:hint="default"/>
              </w:rPr>
            </w:pPr>
          </w:p>
        </w:tc>
        <w:tc>
          <w:tcPr>
            <w:tcW w:w="0" w:type="auto"/>
            <w:vMerge w:val="continue"/>
            <w:vAlign w:val="center"/>
          </w:tcPr>
          <w:p w14:paraId="13D84736">
            <w:pPr>
              <w:pStyle w:val="51"/>
              <w:rPr>
                <w:rFonts w:hint="default"/>
              </w:rPr>
            </w:pPr>
          </w:p>
        </w:tc>
        <w:tc>
          <w:tcPr>
            <w:tcW w:w="0" w:type="auto"/>
            <w:vAlign w:val="center"/>
          </w:tcPr>
          <w:p w14:paraId="133EB422">
            <w:pPr>
              <w:pStyle w:val="51"/>
              <w:rPr>
                <w:rFonts w:hint="default"/>
              </w:rPr>
            </w:pPr>
            <w:r>
              <w:t>多层</w:t>
            </w:r>
          </w:p>
        </w:tc>
        <w:tc>
          <w:tcPr>
            <w:tcW w:w="0" w:type="auto"/>
            <w:vAlign w:val="center"/>
          </w:tcPr>
          <w:p w14:paraId="79575E61">
            <w:pPr>
              <w:pStyle w:val="51"/>
              <w:rPr>
                <w:rFonts w:hint="default"/>
              </w:rPr>
            </w:pPr>
            <w:r>
              <w:t>3.5</w:t>
            </w:r>
          </w:p>
        </w:tc>
        <w:tc>
          <w:tcPr>
            <w:tcW w:w="0" w:type="auto"/>
            <w:vAlign w:val="center"/>
          </w:tcPr>
          <w:p w14:paraId="79FE42C2">
            <w:pPr>
              <w:pStyle w:val="51"/>
              <w:rPr>
                <w:rFonts w:hint="default"/>
              </w:rPr>
            </w:pPr>
            <w:r>
              <w:t>5</w:t>
            </w:r>
          </w:p>
        </w:tc>
        <w:tc>
          <w:tcPr>
            <w:tcW w:w="0" w:type="auto"/>
            <w:vAlign w:val="center"/>
          </w:tcPr>
          <w:p w14:paraId="0EB54E77">
            <w:pPr>
              <w:pStyle w:val="51"/>
              <w:rPr>
                <w:rFonts w:hint="default"/>
              </w:rPr>
            </w:pPr>
            <w:r>
              <w:t>3.5</w:t>
            </w:r>
          </w:p>
        </w:tc>
      </w:tr>
      <w:tr w14:paraId="0E055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99" w:hRule="atLeast"/>
          <w:jc w:val="center"/>
        </w:trPr>
        <w:tc>
          <w:tcPr>
            <w:tcW w:w="0" w:type="auto"/>
            <w:vMerge w:val="continue"/>
            <w:tcBorders>
              <w:bottom w:val="single" w:color="auto" w:sz="12" w:space="0"/>
            </w:tcBorders>
            <w:vAlign w:val="center"/>
          </w:tcPr>
          <w:p w14:paraId="50B6B490">
            <w:pPr>
              <w:pStyle w:val="51"/>
              <w:rPr>
                <w:rFonts w:hint="default"/>
              </w:rPr>
            </w:pPr>
          </w:p>
        </w:tc>
        <w:tc>
          <w:tcPr>
            <w:tcW w:w="0" w:type="auto"/>
            <w:vMerge w:val="continue"/>
            <w:tcBorders>
              <w:bottom w:val="single" w:color="auto" w:sz="12" w:space="0"/>
            </w:tcBorders>
            <w:vAlign w:val="center"/>
          </w:tcPr>
          <w:p w14:paraId="4810CBA2">
            <w:pPr>
              <w:pStyle w:val="51"/>
              <w:rPr>
                <w:rFonts w:hint="default"/>
              </w:rPr>
            </w:pPr>
          </w:p>
        </w:tc>
        <w:tc>
          <w:tcPr>
            <w:tcW w:w="0" w:type="auto"/>
            <w:tcBorders>
              <w:bottom w:val="single" w:color="auto" w:sz="12" w:space="0"/>
            </w:tcBorders>
            <w:vAlign w:val="center"/>
          </w:tcPr>
          <w:p w14:paraId="236F8200">
            <w:pPr>
              <w:pStyle w:val="51"/>
              <w:rPr>
                <w:rFonts w:hint="default"/>
              </w:rPr>
            </w:pPr>
            <w:r>
              <w:t>高层</w:t>
            </w:r>
          </w:p>
        </w:tc>
        <w:tc>
          <w:tcPr>
            <w:tcW w:w="0" w:type="auto"/>
            <w:tcBorders>
              <w:bottom w:val="single" w:color="auto" w:sz="12" w:space="0"/>
            </w:tcBorders>
            <w:vAlign w:val="center"/>
          </w:tcPr>
          <w:p w14:paraId="707E456D">
            <w:pPr>
              <w:pStyle w:val="51"/>
              <w:rPr>
                <w:rFonts w:hint="default"/>
              </w:rPr>
            </w:pPr>
            <w:r>
              <w:t>9</w:t>
            </w:r>
          </w:p>
        </w:tc>
        <w:tc>
          <w:tcPr>
            <w:tcW w:w="0" w:type="auto"/>
            <w:tcBorders>
              <w:bottom w:val="single" w:color="auto" w:sz="12" w:space="0"/>
            </w:tcBorders>
            <w:vAlign w:val="center"/>
          </w:tcPr>
          <w:p w14:paraId="57C0BD5F">
            <w:pPr>
              <w:pStyle w:val="51"/>
              <w:rPr>
                <w:rFonts w:hint="default"/>
              </w:rPr>
            </w:pPr>
            <w:r>
              <w:t>9</w:t>
            </w:r>
          </w:p>
        </w:tc>
        <w:tc>
          <w:tcPr>
            <w:tcW w:w="0" w:type="auto"/>
            <w:tcBorders>
              <w:bottom w:val="single" w:color="auto" w:sz="12" w:space="0"/>
            </w:tcBorders>
            <w:vAlign w:val="center"/>
          </w:tcPr>
          <w:p w14:paraId="1E7C2525">
            <w:pPr>
              <w:pStyle w:val="51"/>
              <w:rPr>
                <w:rFonts w:hint="default"/>
              </w:rPr>
            </w:pPr>
            <w:r>
              <w:t>9</w:t>
            </w:r>
          </w:p>
        </w:tc>
      </w:tr>
    </w:tbl>
    <w:p w14:paraId="7AEE0D11">
      <w:pPr>
        <w:ind w:firstLine="560"/>
        <w:rPr>
          <w:sz w:val="28"/>
          <w:szCs w:val="22"/>
        </w:rPr>
      </w:pPr>
      <w:r>
        <w:rPr>
          <w:rFonts w:hint="eastAsia"/>
          <w:sz w:val="28"/>
          <w:szCs w:val="22"/>
        </w:rPr>
        <w:t>注：退界除满足本表规定外，与边界线以外建筑的间距应满足消防间距要求。</w:t>
      </w:r>
    </w:p>
    <w:p w14:paraId="6B026610">
      <w:pPr>
        <w:ind w:firstLine="640"/>
      </w:pPr>
      <w:r>
        <w:rPr>
          <w:rFonts w:hint="eastAsia"/>
        </w:rPr>
        <w:t>（2）多、低层建筑退让基地边界距离按照第三章相关建筑间距控制的一半计算。</w:t>
      </w:r>
    </w:p>
    <w:p w14:paraId="1B593356">
      <w:pPr>
        <w:ind w:firstLine="640"/>
      </w:pPr>
      <w:r>
        <w:rPr>
          <w:rFonts w:hint="eastAsia"/>
        </w:rPr>
        <w:t>（3）建筑高度小于等于60米的高层建筑，退让北侧地界距离按照下式计算的技术规定值控制：</w:t>
      </w:r>
    </w:p>
    <w:p w14:paraId="36A827FE">
      <w:pPr>
        <w:ind w:firstLine="640"/>
      </w:pPr>
      <w:r>
        <w:rPr>
          <w:rFonts w:hint="eastAsia"/>
        </w:rPr>
        <w:t>新区：24×1.05×0.5+（建筑高度－24）×0.4</w:t>
      </w:r>
    </w:p>
    <w:p w14:paraId="58AC5FD6">
      <w:pPr>
        <w:ind w:firstLine="640"/>
      </w:pPr>
      <w:r>
        <w:rPr>
          <w:rFonts w:hint="eastAsia"/>
        </w:rPr>
        <w:t>旧区：24×0.9×0.5+（建筑高度－24）×0.35</w:t>
      </w:r>
    </w:p>
    <w:p w14:paraId="21C0A45E">
      <w:pPr>
        <w:ind w:firstLine="640"/>
      </w:pPr>
      <w:r>
        <w:rPr>
          <w:rFonts w:hint="eastAsia"/>
        </w:rPr>
        <w:t>高层建筑高度大于60米小于等于100米的，其高度每增加5米，间距增加1米；建筑高度大于100米的，其高度每增加5米，间距增加0.8米，建筑高度大于150米的其间距按照建筑高度150米所需的退距控制。</w:t>
      </w:r>
    </w:p>
    <w:p w14:paraId="5982E36D">
      <w:pPr>
        <w:ind w:firstLine="640"/>
      </w:pPr>
      <w:r>
        <w:rPr>
          <w:rFonts w:hint="eastAsia"/>
        </w:rPr>
        <w:t>（4）高层建筑退让南侧地界距离应不小于15米。</w:t>
      </w:r>
    </w:p>
    <w:p w14:paraId="4581AD13">
      <w:pPr>
        <w:ind w:firstLine="640"/>
      </w:pPr>
      <w:r>
        <w:rPr>
          <w:rFonts w:hint="eastAsia"/>
        </w:rPr>
        <w:t>（5）建筑高度小于等于60米的高层建筑，其主要朝向面对东、西侧地界的按照下式计算的技术规定值控制：</w:t>
      </w:r>
    </w:p>
    <w:p w14:paraId="5D4EDD0A">
      <w:pPr>
        <w:ind w:firstLine="640"/>
      </w:pPr>
      <w:r>
        <w:rPr>
          <w:rFonts w:hint="eastAsia"/>
        </w:rPr>
        <w:t>新区：24×0.8×0.5+（建筑高度－24）×0.25</w:t>
      </w:r>
    </w:p>
    <w:p w14:paraId="39C1F9C7">
      <w:pPr>
        <w:ind w:firstLine="640"/>
      </w:pPr>
      <w:r>
        <w:rPr>
          <w:rFonts w:hint="eastAsia"/>
        </w:rPr>
        <w:t>旧区：24×0.6×0.5+（建筑高度－24）×0.2</w:t>
      </w:r>
    </w:p>
    <w:p w14:paraId="4D8017BB">
      <w:pPr>
        <w:ind w:firstLine="640"/>
      </w:pPr>
      <w:r>
        <w:rPr>
          <w:rFonts w:hint="eastAsia"/>
        </w:rPr>
        <w:t>高层建筑高度大于60米的，其高度每增加5米，间距增加0.4米；建筑高度大于100米的，其高度每增加5米，间距增加0.3米；建筑高度大于150米的其间距按照建筑高度150米所需的退距控制。</w:t>
      </w:r>
    </w:p>
    <w:p w14:paraId="3E3B4377">
      <w:pPr>
        <w:ind w:firstLine="640"/>
      </w:pPr>
      <w:r>
        <w:rPr>
          <w:rFonts w:hint="eastAsia"/>
        </w:rPr>
        <w:t>（6）建筑高度小于等于60米的高层建筑，其山墙面对东、西侧地界的，建筑山墙退地界应不小于山墙面宽度的一半，且应不小于9米。建筑高度大于60米的高层建筑，其山墙面对东、西侧地界的，建筑山墙退地界应不小于山墙面宽度的一半，且应不小于13米。</w:t>
      </w:r>
    </w:p>
    <w:p w14:paraId="10D1A035">
      <w:pPr>
        <w:ind w:firstLine="640"/>
      </w:pPr>
      <w:r>
        <w:rPr>
          <w:rFonts w:hint="eastAsia"/>
        </w:rPr>
        <w:t>2</w:t>
      </w:r>
      <w:r>
        <w:rPr>
          <w:rFonts w:hint="eastAsia" w:ascii="宋体" w:hAnsi="宋体" w:eastAsia="宋体" w:cs="宋体"/>
        </w:rPr>
        <w:t>.</w:t>
      </w:r>
      <w:r>
        <w:rPr>
          <w:rFonts w:hint="eastAsia"/>
        </w:rPr>
        <w:t>边界线以外是现状建筑的，除应当上述退界要求以外，还应当符合建筑间距的有关规定。</w:t>
      </w:r>
    </w:p>
    <w:p w14:paraId="2165E554">
      <w:pPr>
        <w:ind w:firstLine="640"/>
      </w:pPr>
      <w:r>
        <w:rPr>
          <w:rFonts w:hint="eastAsia"/>
        </w:rPr>
        <w:t>上述边界线以外建筑由于历史原因不满足上述退界要求的，在符合消防、日照等要求下，</w:t>
      </w:r>
      <w:r>
        <w:rPr>
          <w:rFonts w:hint="eastAsia"/>
          <w:lang w:eastAsia="zh-CN"/>
        </w:rPr>
        <w:t>其后</w:t>
      </w:r>
      <w:r>
        <w:rPr>
          <w:rFonts w:hint="eastAsia"/>
        </w:rPr>
        <w:t>退距离原则上</w:t>
      </w:r>
      <w:r>
        <w:rPr>
          <w:rFonts w:hint="eastAsia"/>
          <w:lang w:eastAsia="zh-CN"/>
        </w:rPr>
        <w:t>可</w:t>
      </w:r>
      <w:r>
        <w:rPr>
          <w:rFonts w:hint="eastAsia"/>
        </w:rPr>
        <w:t>由界内建筑全部承担。</w:t>
      </w:r>
    </w:p>
    <w:p w14:paraId="0C7280E5">
      <w:pPr>
        <w:ind w:firstLine="640"/>
      </w:pPr>
      <w:r>
        <w:rPr>
          <w:rFonts w:hint="eastAsia"/>
        </w:rPr>
        <w:t>3</w:t>
      </w:r>
      <w:r>
        <w:rPr>
          <w:rFonts w:hint="eastAsia" w:ascii="宋体" w:hAnsi="宋体" w:eastAsia="宋体" w:cs="宋体"/>
        </w:rPr>
        <w:t>.</w:t>
      </w:r>
      <w:r>
        <w:rPr>
          <w:rFonts w:hint="eastAsia"/>
        </w:rPr>
        <w:t>当边界线以外是河流、湖泊、永久性公共绿地等的，建筑后退基地边界一般应不小于建筑高度的0.1倍，原则上不宜小于10米，并结合河道、绿地等级规模和景观设计合理确定。</w:t>
      </w:r>
    </w:p>
    <w:p w14:paraId="048E9482">
      <w:pPr>
        <w:ind w:firstLine="640"/>
      </w:pPr>
      <w:r>
        <w:rPr>
          <w:rFonts w:hint="eastAsia"/>
        </w:rPr>
        <w:t>4</w:t>
      </w:r>
      <w:r>
        <w:rPr>
          <w:rFonts w:hint="eastAsia" w:ascii="宋体" w:hAnsi="宋体" w:eastAsia="宋体" w:cs="宋体"/>
        </w:rPr>
        <w:t>.</w:t>
      </w:r>
      <w:r>
        <w:rPr>
          <w:rFonts w:hint="eastAsia"/>
        </w:rPr>
        <w:t>地下建筑物的退让边界距离，应不小于地下建筑深度（即自室外地面至地下建筑物底板的距离）的0.5倍，且应不小于3米。</w:t>
      </w:r>
    </w:p>
    <w:p w14:paraId="604773E7">
      <w:pPr>
        <w:ind w:firstLine="640"/>
      </w:pPr>
      <w:r>
        <w:rPr>
          <w:rFonts w:hint="eastAsia"/>
        </w:rPr>
        <w:t>5</w:t>
      </w:r>
      <w:r>
        <w:rPr>
          <w:rFonts w:hint="eastAsia" w:ascii="宋体" w:hAnsi="宋体" w:eastAsia="宋体" w:cs="宋体"/>
        </w:rPr>
        <w:t>.</w:t>
      </w:r>
      <w:r>
        <w:rPr>
          <w:rFonts w:hint="eastAsia"/>
        </w:rPr>
        <w:t>存放易燃易爆物品和产生烟尘、噪声及有害气体的建筑物和构筑物，其安全防护和环境卫生防护距离应当在本建筑基地范围内进行退让，边界线以外建筑原则上不承担退让责任。</w:t>
      </w:r>
    </w:p>
    <w:p w14:paraId="09F6B453">
      <w:pPr>
        <w:spacing w:before="160"/>
        <w:ind w:firstLine="640"/>
      </w:pPr>
      <w:r>
        <w:rPr>
          <w:rFonts w:hint="eastAsia"/>
        </w:rPr>
        <w:t>（三）各类建筑后退规划道路红线的距离，应当符合表5规定（表中数值为下限值）。</w:t>
      </w:r>
    </w:p>
    <w:p w14:paraId="5CEE2939">
      <w:pPr>
        <w:ind w:firstLine="640"/>
      </w:pPr>
      <w:r>
        <w:rPr>
          <w:rFonts w:hint="eastAsia"/>
        </w:rPr>
        <w:t>位于柳江各跨江桥梁桥头及城市立交周边的建筑物，原则上后退距离不得小于20米。</w:t>
      </w:r>
    </w:p>
    <w:p w14:paraId="2C204304">
      <w:pPr>
        <w:ind w:firstLine="640"/>
      </w:pPr>
      <w:r>
        <w:rPr>
          <w:rFonts w:hint="eastAsia"/>
        </w:rPr>
        <w:t>对于按照表5规定控制不能满足道路两侧建筑间距要求的，应当增大后退距离，以规划道路中心线作为建筑基地边界，按照本规定的有关退界规定执行。</w:t>
      </w:r>
    </w:p>
    <w:p w14:paraId="415CAF30">
      <w:pPr>
        <w:ind w:firstLine="0" w:firstLineChars="0"/>
      </w:pPr>
    </w:p>
    <w:p w14:paraId="582FDE93">
      <w:pPr>
        <w:ind w:firstLine="0" w:firstLineChars="0"/>
      </w:pPr>
    </w:p>
    <w:p w14:paraId="37135A0F">
      <w:pPr>
        <w:ind w:firstLine="0" w:firstLineChars="0"/>
      </w:pPr>
    </w:p>
    <w:p w14:paraId="4B261FC6">
      <w:pPr>
        <w:ind w:firstLine="0" w:firstLineChars="0"/>
      </w:pPr>
    </w:p>
    <w:p w14:paraId="069463D3">
      <w:pPr>
        <w:ind w:firstLine="0" w:firstLineChars="0"/>
      </w:pPr>
    </w:p>
    <w:p w14:paraId="6E2801BA">
      <w:pPr>
        <w:ind w:firstLine="0" w:firstLineChars="0"/>
      </w:pPr>
    </w:p>
    <w:p w14:paraId="13FFD855">
      <w:pPr>
        <w:ind w:firstLine="0" w:firstLineChars="0"/>
      </w:pPr>
    </w:p>
    <w:p w14:paraId="5BD1C885">
      <w:pPr>
        <w:ind w:firstLine="0" w:firstLineChars="0"/>
      </w:pPr>
    </w:p>
    <w:p w14:paraId="10049D1F">
      <w:pPr>
        <w:pStyle w:val="51"/>
        <w:spacing w:beforeLines="100"/>
        <w:rPr>
          <w:rFonts w:hint="default"/>
        </w:rPr>
      </w:pPr>
      <w:r>
        <w:t>表5 建筑后退道路红线控制指标表</w:t>
      </w:r>
    </w:p>
    <w:tbl>
      <w:tblPr>
        <w:tblStyle w:val="21"/>
        <w:tblpPr w:leftFromText="180" w:rightFromText="180" w:vertAnchor="text" w:horzAnchor="margin" w:tblpXSpec="center" w:tblpY="265"/>
        <w:tblW w:w="888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1908"/>
        <w:gridCol w:w="1121"/>
        <w:gridCol w:w="1777"/>
        <w:gridCol w:w="1777"/>
        <w:gridCol w:w="1359"/>
      </w:tblGrid>
      <w:tr w14:paraId="2A61C9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89" w:hRule="atLeast"/>
        </w:trPr>
        <w:tc>
          <w:tcPr>
            <w:tcW w:w="2851" w:type="dxa"/>
            <w:gridSpan w:val="2"/>
            <w:tcBorders>
              <w:top w:val="single" w:color="000000" w:sz="12" w:space="0"/>
            </w:tcBorders>
            <w:vAlign w:val="center"/>
          </w:tcPr>
          <w:p w14:paraId="29B8B26E">
            <w:pPr>
              <w:pStyle w:val="51"/>
              <w:rPr>
                <w:rFonts w:hint="default"/>
              </w:rPr>
            </w:pPr>
            <w:r>
              <w:t>L=道路红线宽度</w:t>
            </w:r>
          </w:p>
          <w:p w14:paraId="72E59CA5">
            <w:pPr>
              <w:pStyle w:val="51"/>
              <w:rPr>
                <w:rFonts w:hint="default"/>
              </w:rPr>
            </w:pPr>
            <w:r>
              <w:t>H=建筑高度</w:t>
            </w:r>
          </w:p>
        </w:tc>
        <w:tc>
          <w:tcPr>
            <w:tcW w:w="1121" w:type="dxa"/>
            <w:tcBorders>
              <w:top w:val="single" w:color="000000" w:sz="12" w:space="0"/>
              <w:right w:val="single" w:color="auto" w:sz="4" w:space="0"/>
            </w:tcBorders>
            <w:vAlign w:val="center"/>
          </w:tcPr>
          <w:p w14:paraId="7CAF0AE2">
            <w:pPr>
              <w:pStyle w:val="51"/>
              <w:rPr>
                <w:rFonts w:hint="default"/>
              </w:rPr>
            </w:pPr>
            <w:r>
              <w:t>快速路</w:t>
            </w:r>
          </w:p>
        </w:tc>
        <w:tc>
          <w:tcPr>
            <w:tcW w:w="1777" w:type="dxa"/>
            <w:tcBorders>
              <w:top w:val="single" w:color="000000" w:sz="12" w:space="0"/>
              <w:left w:val="single" w:color="auto" w:sz="4" w:space="0"/>
            </w:tcBorders>
            <w:vAlign w:val="center"/>
          </w:tcPr>
          <w:p w14:paraId="4353B59A">
            <w:pPr>
              <w:pStyle w:val="51"/>
              <w:rPr>
                <w:rFonts w:hint="default"/>
              </w:rPr>
            </w:pPr>
            <w:r>
              <w:t>L≥40</w:t>
            </w:r>
          </w:p>
        </w:tc>
        <w:tc>
          <w:tcPr>
            <w:tcW w:w="1777" w:type="dxa"/>
            <w:tcBorders>
              <w:top w:val="single" w:color="000000" w:sz="12" w:space="0"/>
            </w:tcBorders>
            <w:vAlign w:val="center"/>
          </w:tcPr>
          <w:p w14:paraId="37FE3B80">
            <w:pPr>
              <w:pStyle w:val="51"/>
              <w:rPr>
                <w:rFonts w:hint="default"/>
              </w:rPr>
            </w:pPr>
            <w:r>
              <w:t>24≤L&lt;40</w:t>
            </w:r>
          </w:p>
        </w:tc>
        <w:tc>
          <w:tcPr>
            <w:tcW w:w="1359" w:type="dxa"/>
            <w:tcBorders>
              <w:top w:val="single" w:color="000000" w:sz="12" w:space="0"/>
            </w:tcBorders>
            <w:vAlign w:val="center"/>
          </w:tcPr>
          <w:p w14:paraId="11AB3BBB">
            <w:pPr>
              <w:pStyle w:val="51"/>
              <w:rPr>
                <w:rFonts w:hint="default"/>
              </w:rPr>
            </w:pPr>
            <w:r>
              <w:t>L&lt;24</w:t>
            </w:r>
          </w:p>
        </w:tc>
      </w:tr>
      <w:tr w14:paraId="0DFBB3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restart"/>
            <w:vAlign w:val="center"/>
          </w:tcPr>
          <w:p w14:paraId="68EA8411">
            <w:pPr>
              <w:pStyle w:val="51"/>
              <w:rPr>
                <w:rFonts w:hint="default"/>
              </w:rPr>
            </w:pPr>
          </w:p>
          <w:p w14:paraId="0DD306C6">
            <w:pPr>
              <w:pStyle w:val="51"/>
              <w:rPr>
                <w:rFonts w:hint="default"/>
              </w:rPr>
            </w:pPr>
            <w:r>
              <w:t>旧</w:t>
            </w:r>
          </w:p>
          <w:p w14:paraId="34D2D664">
            <w:pPr>
              <w:pStyle w:val="51"/>
              <w:rPr>
                <w:rFonts w:hint="default"/>
              </w:rPr>
            </w:pPr>
          </w:p>
          <w:p w14:paraId="5B2BB285">
            <w:pPr>
              <w:pStyle w:val="51"/>
              <w:rPr>
                <w:rFonts w:hint="default"/>
              </w:rPr>
            </w:pPr>
            <w:r>
              <w:t>区</w:t>
            </w:r>
          </w:p>
        </w:tc>
        <w:tc>
          <w:tcPr>
            <w:tcW w:w="1908" w:type="dxa"/>
            <w:vMerge w:val="restart"/>
            <w:vAlign w:val="center"/>
          </w:tcPr>
          <w:p w14:paraId="689A19E4">
            <w:pPr>
              <w:pStyle w:val="51"/>
              <w:rPr>
                <w:rFonts w:hint="default"/>
              </w:rPr>
            </w:pPr>
            <w:r>
              <w:t>H≤24m</w:t>
            </w:r>
          </w:p>
        </w:tc>
        <w:tc>
          <w:tcPr>
            <w:tcW w:w="1121" w:type="dxa"/>
            <w:vMerge w:val="restart"/>
            <w:tcBorders>
              <w:right w:val="single" w:color="auto" w:sz="4" w:space="0"/>
            </w:tcBorders>
            <w:vAlign w:val="center"/>
          </w:tcPr>
          <w:p w14:paraId="6595E2EE">
            <w:pPr>
              <w:pStyle w:val="51"/>
              <w:rPr>
                <w:rFonts w:hint="default"/>
              </w:rPr>
            </w:pPr>
            <w:r>
              <w:t>15</w:t>
            </w:r>
          </w:p>
        </w:tc>
        <w:tc>
          <w:tcPr>
            <w:tcW w:w="1777" w:type="dxa"/>
            <w:vMerge w:val="restart"/>
            <w:tcBorders>
              <w:left w:val="single" w:color="auto" w:sz="4" w:space="0"/>
            </w:tcBorders>
            <w:vAlign w:val="center"/>
          </w:tcPr>
          <w:p w14:paraId="1752C86E">
            <w:pPr>
              <w:pStyle w:val="51"/>
              <w:rPr>
                <w:rFonts w:hint="default"/>
              </w:rPr>
            </w:pPr>
            <w:r>
              <w:t>6</w:t>
            </w:r>
          </w:p>
        </w:tc>
        <w:tc>
          <w:tcPr>
            <w:tcW w:w="1777" w:type="dxa"/>
            <w:vMerge w:val="restart"/>
            <w:vAlign w:val="center"/>
          </w:tcPr>
          <w:p w14:paraId="356025E0">
            <w:pPr>
              <w:pStyle w:val="51"/>
              <w:rPr>
                <w:rFonts w:hint="default"/>
              </w:rPr>
            </w:pPr>
            <w:r>
              <w:t>4</w:t>
            </w:r>
          </w:p>
        </w:tc>
        <w:tc>
          <w:tcPr>
            <w:tcW w:w="1359" w:type="dxa"/>
            <w:vMerge w:val="restart"/>
            <w:vAlign w:val="center"/>
          </w:tcPr>
          <w:p w14:paraId="1742B641">
            <w:pPr>
              <w:pStyle w:val="51"/>
              <w:rPr>
                <w:rFonts w:hint="default"/>
              </w:rPr>
            </w:pPr>
            <w:r>
              <w:t>3</w:t>
            </w:r>
          </w:p>
        </w:tc>
      </w:tr>
      <w:tr w14:paraId="3C141F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14:paraId="3EF2F104">
            <w:pPr>
              <w:pStyle w:val="51"/>
              <w:rPr>
                <w:rFonts w:hint="default"/>
              </w:rPr>
            </w:pPr>
          </w:p>
        </w:tc>
        <w:tc>
          <w:tcPr>
            <w:tcW w:w="1908" w:type="dxa"/>
            <w:vMerge w:val="continue"/>
            <w:vAlign w:val="center"/>
          </w:tcPr>
          <w:p w14:paraId="06F7CE7B">
            <w:pPr>
              <w:pStyle w:val="51"/>
              <w:rPr>
                <w:rFonts w:hint="default"/>
              </w:rPr>
            </w:pPr>
          </w:p>
        </w:tc>
        <w:tc>
          <w:tcPr>
            <w:tcW w:w="1121" w:type="dxa"/>
            <w:vMerge w:val="continue"/>
            <w:tcBorders>
              <w:right w:val="single" w:color="auto" w:sz="4" w:space="0"/>
            </w:tcBorders>
            <w:vAlign w:val="center"/>
          </w:tcPr>
          <w:p w14:paraId="418238E7">
            <w:pPr>
              <w:pStyle w:val="51"/>
              <w:rPr>
                <w:rFonts w:hint="default"/>
              </w:rPr>
            </w:pPr>
          </w:p>
        </w:tc>
        <w:tc>
          <w:tcPr>
            <w:tcW w:w="1777" w:type="dxa"/>
            <w:vMerge w:val="continue"/>
            <w:tcBorders>
              <w:left w:val="single" w:color="auto" w:sz="4" w:space="0"/>
            </w:tcBorders>
            <w:vAlign w:val="center"/>
          </w:tcPr>
          <w:p w14:paraId="71DFD0AF">
            <w:pPr>
              <w:pStyle w:val="51"/>
              <w:rPr>
                <w:rFonts w:hint="default"/>
              </w:rPr>
            </w:pPr>
          </w:p>
        </w:tc>
        <w:tc>
          <w:tcPr>
            <w:tcW w:w="1777" w:type="dxa"/>
            <w:vMerge w:val="continue"/>
            <w:vAlign w:val="center"/>
          </w:tcPr>
          <w:p w14:paraId="6E154B1A">
            <w:pPr>
              <w:pStyle w:val="51"/>
              <w:rPr>
                <w:rFonts w:hint="default"/>
              </w:rPr>
            </w:pPr>
          </w:p>
        </w:tc>
        <w:tc>
          <w:tcPr>
            <w:tcW w:w="1359" w:type="dxa"/>
            <w:vMerge w:val="continue"/>
            <w:vAlign w:val="center"/>
          </w:tcPr>
          <w:p w14:paraId="5331E3E0">
            <w:pPr>
              <w:pStyle w:val="51"/>
              <w:rPr>
                <w:rFonts w:hint="default"/>
              </w:rPr>
            </w:pPr>
          </w:p>
        </w:tc>
      </w:tr>
      <w:tr w14:paraId="6C652B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14:paraId="30F3B491">
            <w:pPr>
              <w:pStyle w:val="51"/>
              <w:rPr>
                <w:rFonts w:hint="default"/>
              </w:rPr>
            </w:pPr>
          </w:p>
        </w:tc>
        <w:tc>
          <w:tcPr>
            <w:tcW w:w="1908" w:type="dxa"/>
            <w:vMerge w:val="restart"/>
            <w:vAlign w:val="center"/>
          </w:tcPr>
          <w:p w14:paraId="61F323B9">
            <w:pPr>
              <w:pStyle w:val="51"/>
              <w:rPr>
                <w:rFonts w:hint="default"/>
              </w:rPr>
            </w:pPr>
            <w:r>
              <w:t>24m</w:t>
            </w:r>
            <w:r>
              <w:rPr>
                <w:rFonts w:hint="eastAsia"/>
                <w:lang w:eastAsia="zh-CN"/>
              </w:rPr>
              <w:t>&lt;</w:t>
            </w:r>
            <w:r>
              <w:t>H≤60m</w:t>
            </w:r>
          </w:p>
        </w:tc>
        <w:tc>
          <w:tcPr>
            <w:tcW w:w="1121" w:type="dxa"/>
            <w:vMerge w:val="restart"/>
            <w:tcBorders>
              <w:right w:val="single" w:color="auto" w:sz="4" w:space="0"/>
            </w:tcBorders>
            <w:vAlign w:val="center"/>
          </w:tcPr>
          <w:p w14:paraId="0FB100CE">
            <w:pPr>
              <w:pStyle w:val="51"/>
              <w:rPr>
                <w:rFonts w:hint="default"/>
              </w:rPr>
            </w:pPr>
            <w:r>
              <w:t>20</w:t>
            </w:r>
          </w:p>
        </w:tc>
        <w:tc>
          <w:tcPr>
            <w:tcW w:w="1777" w:type="dxa"/>
            <w:vMerge w:val="restart"/>
            <w:tcBorders>
              <w:left w:val="single" w:color="auto" w:sz="4" w:space="0"/>
            </w:tcBorders>
            <w:vAlign w:val="center"/>
          </w:tcPr>
          <w:p w14:paraId="63F79604">
            <w:pPr>
              <w:pStyle w:val="51"/>
              <w:rPr>
                <w:rFonts w:hint="default"/>
              </w:rPr>
            </w:pPr>
            <w:r>
              <w:t>10</w:t>
            </w:r>
          </w:p>
        </w:tc>
        <w:tc>
          <w:tcPr>
            <w:tcW w:w="1777" w:type="dxa"/>
            <w:vMerge w:val="restart"/>
            <w:vAlign w:val="center"/>
          </w:tcPr>
          <w:p w14:paraId="2C92EE38">
            <w:pPr>
              <w:pStyle w:val="51"/>
              <w:rPr>
                <w:rFonts w:hint="default"/>
              </w:rPr>
            </w:pPr>
            <w:r>
              <w:t>8</w:t>
            </w:r>
          </w:p>
        </w:tc>
        <w:tc>
          <w:tcPr>
            <w:tcW w:w="1359" w:type="dxa"/>
            <w:vMerge w:val="restart"/>
            <w:vAlign w:val="center"/>
          </w:tcPr>
          <w:p w14:paraId="038B3C71">
            <w:pPr>
              <w:pStyle w:val="51"/>
              <w:rPr>
                <w:rFonts w:hint="default"/>
              </w:rPr>
            </w:pPr>
            <w:r>
              <w:t>6</w:t>
            </w:r>
          </w:p>
        </w:tc>
      </w:tr>
      <w:tr w14:paraId="4F0F0F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14:paraId="6509F6AD">
            <w:pPr>
              <w:pStyle w:val="51"/>
              <w:rPr>
                <w:rFonts w:hint="default"/>
              </w:rPr>
            </w:pPr>
          </w:p>
        </w:tc>
        <w:tc>
          <w:tcPr>
            <w:tcW w:w="1908" w:type="dxa"/>
            <w:vMerge w:val="continue"/>
            <w:vAlign w:val="center"/>
          </w:tcPr>
          <w:p w14:paraId="6DAAFFD0">
            <w:pPr>
              <w:pStyle w:val="51"/>
              <w:rPr>
                <w:rFonts w:hint="default"/>
              </w:rPr>
            </w:pPr>
          </w:p>
        </w:tc>
        <w:tc>
          <w:tcPr>
            <w:tcW w:w="1121" w:type="dxa"/>
            <w:vMerge w:val="continue"/>
            <w:tcBorders>
              <w:right w:val="single" w:color="auto" w:sz="4" w:space="0"/>
            </w:tcBorders>
            <w:vAlign w:val="center"/>
          </w:tcPr>
          <w:p w14:paraId="24967329">
            <w:pPr>
              <w:pStyle w:val="51"/>
              <w:rPr>
                <w:rFonts w:hint="default"/>
              </w:rPr>
            </w:pPr>
          </w:p>
        </w:tc>
        <w:tc>
          <w:tcPr>
            <w:tcW w:w="1777" w:type="dxa"/>
            <w:vMerge w:val="continue"/>
            <w:tcBorders>
              <w:left w:val="single" w:color="auto" w:sz="4" w:space="0"/>
            </w:tcBorders>
            <w:vAlign w:val="center"/>
          </w:tcPr>
          <w:p w14:paraId="3CB35FDB">
            <w:pPr>
              <w:pStyle w:val="51"/>
              <w:rPr>
                <w:rFonts w:hint="default"/>
              </w:rPr>
            </w:pPr>
          </w:p>
        </w:tc>
        <w:tc>
          <w:tcPr>
            <w:tcW w:w="1777" w:type="dxa"/>
            <w:vMerge w:val="continue"/>
            <w:vAlign w:val="center"/>
          </w:tcPr>
          <w:p w14:paraId="1C692DCB">
            <w:pPr>
              <w:pStyle w:val="51"/>
              <w:rPr>
                <w:rFonts w:hint="default"/>
              </w:rPr>
            </w:pPr>
          </w:p>
        </w:tc>
        <w:tc>
          <w:tcPr>
            <w:tcW w:w="1359" w:type="dxa"/>
            <w:vMerge w:val="continue"/>
            <w:vAlign w:val="center"/>
          </w:tcPr>
          <w:p w14:paraId="31F75091">
            <w:pPr>
              <w:pStyle w:val="51"/>
              <w:rPr>
                <w:rFonts w:hint="default"/>
              </w:rPr>
            </w:pPr>
          </w:p>
        </w:tc>
      </w:tr>
      <w:tr w14:paraId="7DBE6F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14:paraId="58821999">
            <w:pPr>
              <w:pStyle w:val="51"/>
              <w:rPr>
                <w:rFonts w:hint="default"/>
              </w:rPr>
            </w:pPr>
          </w:p>
        </w:tc>
        <w:tc>
          <w:tcPr>
            <w:tcW w:w="1908" w:type="dxa"/>
            <w:vMerge w:val="restart"/>
            <w:vAlign w:val="center"/>
          </w:tcPr>
          <w:p w14:paraId="533C45EC">
            <w:pPr>
              <w:pStyle w:val="51"/>
              <w:rPr>
                <w:rFonts w:hint="default"/>
              </w:rPr>
            </w:pPr>
            <w:r>
              <w:t>60m</w:t>
            </w:r>
            <w:r>
              <w:rPr>
                <w:rFonts w:hint="eastAsia"/>
                <w:lang w:eastAsia="zh-CN"/>
              </w:rPr>
              <w:t>&lt;</w:t>
            </w:r>
            <w:r>
              <w:t>H</w:t>
            </w:r>
          </w:p>
        </w:tc>
        <w:tc>
          <w:tcPr>
            <w:tcW w:w="1121" w:type="dxa"/>
            <w:vMerge w:val="restart"/>
            <w:tcBorders>
              <w:right w:val="single" w:color="auto" w:sz="4" w:space="0"/>
            </w:tcBorders>
            <w:vAlign w:val="center"/>
          </w:tcPr>
          <w:p w14:paraId="1A0E90D6">
            <w:pPr>
              <w:pStyle w:val="51"/>
              <w:rPr>
                <w:rFonts w:hint="default"/>
              </w:rPr>
            </w:pPr>
            <w:r>
              <w:t>25</w:t>
            </w:r>
          </w:p>
        </w:tc>
        <w:tc>
          <w:tcPr>
            <w:tcW w:w="1777" w:type="dxa"/>
            <w:vMerge w:val="restart"/>
            <w:tcBorders>
              <w:left w:val="single" w:color="auto" w:sz="4" w:space="0"/>
            </w:tcBorders>
            <w:vAlign w:val="center"/>
          </w:tcPr>
          <w:p w14:paraId="7332B8AC">
            <w:pPr>
              <w:pStyle w:val="51"/>
              <w:rPr>
                <w:rFonts w:hint="default"/>
              </w:rPr>
            </w:pPr>
            <w:r>
              <w:t>15</w:t>
            </w:r>
          </w:p>
        </w:tc>
        <w:tc>
          <w:tcPr>
            <w:tcW w:w="1777" w:type="dxa"/>
            <w:vMerge w:val="restart"/>
            <w:vAlign w:val="center"/>
          </w:tcPr>
          <w:p w14:paraId="14A2167E">
            <w:pPr>
              <w:pStyle w:val="51"/>
              <w:rPr>
                <w:rFonts w:hint="default"/>
              </w:rPr>
            </w:pPr>
            <w:r>
              <w:t>12</w:t>
            </w:r>
          </w:p>
        </w:tc>
        <w:tc>
          <w:tcPr>
            <w:tcW w:w="1359" w:type="dxa"/>
            <w:vMerge w:val="restart"/>
            <w:vAlign w:val="center"/>
          </w:tcPr>
          <w:p w14:paraId="61821552">
            <w:pPr>
              <w:pStyle w:val="51"/>
              <w:rPr>
                <w:rFonts w:hint="default"/>
              </w:rPr>
            </w:pPr>
            <w:r>
              <w:t>9</w:t>
            </w:r>
          </w:p>
        </w:tc>
      </w:tr>
      <w:tr w14:paraId="35E4E6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14:paraId="7FEC0363">
            <w:pPr>
              <w:pStyle w:val="51"/>
              <w:rPr>
                <w:rFonts w:hint="default"/>
              </w:rPr>
            </w:pPr>
          </w:p>
        </w:tc>
        <w:tc>
          <w:tcPr>
            <w:tcW w:w="1908" w:type="dxa"/>
            <w:vMerge w:val="continue"/>
            <w:vAlign w:val="center"/>
          </w:tcPr>
          <w:p w14:paraId="66E5BC04">
            <w:pPr>
              <w:pStyle w:val="51"/>
              <w:rPr>
                <w:rFonts w:hint="default"/>
              </w:rPr>
            </w:pPr>
          </w:p>
        </w:tc>
        <w:tc>
          <w:tcPr>
            <w:tcW w:w="1121" w:type="dxa"/>
            <w:vMerge w:val="continue"/>
            <w:tcBorders>
              <w:right w:val="single" w:color="auto" w:sz="4" w:space="0"/>
            </w:tcBorders>
            <w:vAlign w:val="center"/>
          </w:tcPr>
          <w:p w14:paraId="50A499EC">
            <w:pPr>
              <w:pStyle w:val="51"/>
              <w:rPr>
                <w:rFonts w:hint="default"/>
              </w:rPr>
            </w:pPr>
          </w:p>
        </w:tc>
        <w:tc>
          <w:tcPr>
            <w:tcW w:w="1777" w:type="dxa"/>
            <w:vMerge w:val="continue"/>
            <w:tcBorders>
              <w:left w:val="single" w:color="auto" w:sz="4" w:space="0"/>
            </w:tcBorders>
            <w:vAlign w:val="center"/>
          </w:tcPr>
          <w:p w14:paraId="3228288A">
            <w:pPr>
              <w:pStyle w:val="51"/>
              <w:rPr>
                <w:rFonts w:hint="default"/>
              </w:rPr>
            </w:pPr>
          </w:p>
        </w:tc>
        <w:tc>
          <w:tcPr>
            <w:tcW w:w="1777" w:type="dxa"/>
            <w:vMerge w:val="continue"/>
            <w:vAlign w:val="center"/>
          </w:tcPr>
          <w:p w14:paraId="7E2176AC">
            <w:pPr>
              <w:pStyle w:val="51"/>
              <w:rPr>
                <w:rFonts w:hint="default"/>
              </w:rPr>
            </w:pPr>
          </w:p>
        </w:tc>
        <w:tc>
          <w:tcPr>
            <w:tcW w:w="1359" w:type="dxa"/>
            <w:vMerge w:val="continue"/>
            <w:vAlign w:val="center"/>
          </w:tcPr>
          <w:p w14:paraId="3E06724C">
            <w:pPr>
              <w:pStyle w:val="51"/>
              <w:rPr>
                <w:rFonts w:hint="default"/>
              </w:rPr>
            </w:pPr>
          </w:p>
        </w:tc>
      </w:tr>
      <w:tr w14:paraId="5F1723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restart"/>
            <w:vAlign w:val="center"/>
          </w:tcPr>
          <w:p w14:paraId="4567FE4E">
            <w:pPr>
              <w:pStyle w:val="51"/>
              <w:rPr>
                <w:rFonts w:hint="default"/>
              </w:rPr>
            </w:pPr>
          </w:p>
          <w:p w14:paraId="48C0DBCE">
            <w:pPr>
              <w:pStyle w:val="51"/>
              <w:rPr>
                <w:rFonts w:hint="default"/>
              </w:rPr>
            </w:pPr>
            <w:r>
              <w:t>新</w:t>
            </w:r>
          </w:p>
          <w:p w14:paraId="37A107E8">
            <w:pPr>
              <w:pStyle w:val="51"/>
              <w:rPr>
                <w:rFonts w:hint="default"/>
              </w:rPr>
            </w:pPr>
          </w:p>
          <w:p w14:paraId="567D1F77">
            <w:pPr>
              <w:pStyle w:val="51"/>
              <w:rPr>
                <w:rFonts w:hint="default"/>
              </w:rPr>
            </w:pPr>
            <w:r>
              <w:t>区</w:t>
            </w:r>
          </w:p>
        </w:tc>
        <w:tc>
          <w:tcPr>
            <w:tcW w:w="1908" w:type="dxa"/>
            <w:vMerge w:val="restart"/>
            <w:vAlign w:val="center"/>
          </w:tcPr>
          <w:p w14:paraId="5AA3F5A3">
            <w:pPr>
              <w:pStyle w:val="51"/>
              <w:rPr>
                <w:rFonts w:hint="default"/>
              </w:rPr>
            </w:pPr>
            <w:r>
              <w:t>H≤24m</w:t>
            </w:r>
          </w:p>
        </w:tc>
        <w:tc>
          <w:tcPr>
            <w:tcW w:w="1121" w:type="dxa"/>
            <w:vMerge w:val="restart"/>
            <w:tcBorders>
              <w:right w:val="single" w:color="auto" w:sz="4" w:space="0"/>
            </w:tcBorders>
            <w:vAlign w:val="center"/>
          </w:tcPr>
          <w:p w14:paraId="118BECCE">
            <w:pPr>
              <w:pStyle w:val="51"/>
              <w:rPr>
                <w:rFonts w:hint="default"/>
              </w:rPr>
            </w:pPr>
            <w:r>
              <w:t>20</w:t>
            </w:r>
          </w:p>
        </w:tc>
        <w:tc>
          <w:tcPr>
            <w:tcW w:w="1777" w:type="dxa"/>
            <w:vMerge w:val="restart"/>
            <w:tcBorders>
              <w:left w:val="single" w:color="auto" w:sz="4" w:space="0"/>
            </w:tcBorders>
            <w:vAlign w:val="center"/>
          </w:tcPr>
          <w:p w14:paraId="42A8D4C7">
            <w:pPr>
              <w:pStyle w:val="51"/>
              <w:rPr>
                <w:rFonts w:hint="default"/>
              </w:rPr>
            </w:pPr>
            <w:r>
              <w:t>10</w:t>
            </w:r>
          </w:p>
        </w:tc>
        <w:tc>
          <w:tcPr>
            <w:tcW w:w="1777" w:type="dxa"/>
            <w:vMerge w:val="restart"/>
            <w:vAlign w:val="center"/>
          </w:tcPr>
          <w:p w14:paraId="46848177">
            <w:pPr>
              <w:pStyle w:val="51"/>
              <w:rPr>
                <w:rFonts w:hint="default"/>
              </w:rPr>
            </w:pPr>
            <w:r>
              <w:t>6</w:t>
            </w:r>
          </w:p>
        </w:tc>
        <w:tc>
          <w:tcPr>
            <w:tcW w:w="1359" w:type="dxa"/>
            <w:vMerge w:val="restart"/>
            <w:vAlign w:val="center"/>
          </w:tcPr>
          <w:p w14:paraId="5F0FA6AB">
            <w:pPr>
              <w:pStyle w:val="51"/>
              <w:rPr>
                <w:rFonts w:hint="default"/>
              </w:rPr>
            </w:pPr>
            <w:r>
              <w:t>4</w:t>
            </w:r>
          </w:p>
        </w:tc>
      </w:tr>
      <w:tr w14:paraId="710605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14:paraId="45DB0384">
            <w:pPr>
              <w:pStyle w:val="51"/>
              <w:rPr>
                <w:rFonts w:hint="default"/>
              </w:rPr>
            </w:pPr>
          </w:p>
        </w:tc>
        <w:tc>
          <w:tcPr>
            <w:tcW w:w="1908" w:type="dxa"/>
            <w:vMerge w:val="continue"/>
            <w:vAlign w:val="center"/>
          </w:tcPr>
          <w:p w14:paraId="3E256722">
            <w:pPr>
              <w:pStyle w:val="51"/>
              <w:rPr>
                <w:rFonts w:hint="default"/>
              </w:rPr>
            </w:pPr>
          </w:p>
        </w:tc>
        <w:tc>
          <w:tcPr>
            <w:tcW w:w="1121" w:type="dxa"/>
            <w:vMerge w:val="continue"/>
            <w:tcBorders>
              <w:right w:val="single" w:color="auto" w:sz="4" w:space="0"/>
            </w:tcBorders>
            <w:vAlign w:val="center"/>
          </w:tcPr>
          <w:p w14:paraId="08159581">
            <w:pPr>
              <w:pStyle w:val="51"/>
              <w:rPr>
                <w:rFonts w:hint="default"/>
              </w:rPr>
            </w:pPr>
          </w:p>
        </w:tc>
        <w:tc>
          <w:tcPr>
            <w:tcW w:w="1777" w:type="dxa"/>
            <w:vMerge w:val="continue"/>
            <w:tcBorders>
              <w:left w:val="single" w:color="auto" w:sz="4" w:space="0"/>
            </w:tcBorders>
            <w:vAlign w:val="center"/>
          </w:tcPr>
          <w:p w14:paraId="2F8ED025">
            <w:pPr>
              <w:pStyle w:val="51"/>
              <w:rPr>
                <w:rFonts w:hint="default"/>
              </w:rPr>
            </w:pPr>
          </w:p>
        </w:tc>
        <w:tc>
          <w:tcPr>
            <w:tcW w:w="1777" w:type="dxa"/>
            <w:vMerge w:val="continue"/>
            <w:vAlign w:val="center"/>
          </w:tcPr>
          <w:p w14:paraId="6B8BBA5C">
            <w:pPr>
              <w:pStyle w:val="51"/>
              <w:rPr>
                <w:rFonts w:hint="default"/>
              </w:rPr>
            </w:pPr>
          </w:p>
        </w:tc>
        <w:tc>
          <w:tcPr>
            <w:tcW w:w="1359" w:type="dxa"/>
            <w:vMerge w:val="continue"/>
            <w:vAlign w:val="center"/>
          </w:tcPr>
          <w:p w14:paraId="17219E93">
            <w:pPr>
              <w:pStyle w:val="51"/>
              <w:rPr>
                <w:rFonts w:hint="default"/>
              </w:rPr>
            </w:pPr>
          </w:p>
        </w:tc>
      </w:tr>
      <w:tr w14:paraId="41FC0C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14:paraId="3D6DA888">
            <w:pPr>
              <w:pStyle w:val="51"/>
              <w:rPr>
                <w:rFonts w:hint="default"/>
              </w:rPr>
            </w:pPr>
          </w:p>
        </w:tc>
        <w:tc>
          <w:tcPr>
            <w:tcW w:w="1908" w:type="dxa"/>
            <w:vMerge w:val="restart"/>
            <w:vAlign w:val="center"/>
          </w:tcPr>
          <w:p w14:paraId="1B6B91B6">
            <w:pPr>
              <w:pStyle w:val="51"/>
              <w:rPr>
                <w:rFonts w:hint="default"/>
              </w:rPr>
            </w:pPr>
            <w:r>
              <w:t>24m</w:t>
            </w:r>
            <w:r>
              <w:rPr>
                <w:rFonts w:hint="eastAsia"/>
                <w:lang w:eastAsia="zh-CN"/>
              </w:rPr>
              <w:t>&lt;</w:t>
            </w:r>
            <w:r>
              <w:t>H≤60m</w:t>
            </w:r>
          </w:p>
        </w:tc>
        <w:tc>
          <w:tcPr>
            <w:tcW w:w="1121" w:type="dxa"/>
            <w:vMerge w:val="restart"/>
            <w:tcBorders>
              <w:right w:val="single" w:color="auto" w:sz="4" w:space="0"/>
            </w:tcBorders>
            <w:vAlign w:val="center"/>
          </w:tcPr>
          <w:p w14:paraId="368F81CE">
            <w:pPr>
              <w:pStyle w:val="51"/>
              <w:rPr>
                <w:rFonts w:hint="default"/>
              </w:rPr>
            </w:pPr>
            <w:r>
              <w:t>30</w:t>
            </w:r>
          </w:p>
        </w:tc>
        <w:tc>
          <w:tcPr>
            <w:tcW w:w="1777" w:type="dxa"/>
            <w:vMerge w:val="restart"/>
            <w:tcBorders>
              <w:left w:val="single" w:color="auto" w:sz="4" w:space="0"/>
            </w:tcBorders>
            <w:vAlign w:val="center"/>
          </w:tcPr>
          <w:p w14:paraId="05F04AA5">
            <w:pPr>
              <w:pStyle w:val="51"/>
              <w:rPr>
                <w:rFonts w:hint="default"/>
              </w:rPr>
            </w:pPr>
            <w:r>
              <w:t>15</w:t>
            </w:r>
          </w:p>
        </w:tc>
        <w:tc>
          <w:tcPr>
            <w:tcW w:w="1777" w:type="dxa"/>
            <w:vMerge w:val="restart"/>
            <w:vAlign w:val="center"/>
          </w:tcPr>
          <w:p w14:paraId="6544C9BF">
            <w:pPr>
              <w:pStyle w:val="51"/>
              <w:rPr>
                <w:rFonts w:hint="default"/>
              </w:rPr>
            </w:pPr>
            <w:r>
              <w:t>10</w:t>
            </w:r>
          </w:p>
        </w:tc>
        <w:tc>
          <w:tcPr>
            <w:tcW w:w="1359" w:type="dxa"/>
            <w:vMerge w:val="restart"/>
            <w:vAlign w:val="center"/>
          </w:tcPr>
          <w:p w14:paraId="74E1197C">
            <w:pPr>
              <w:pStyle w:val="51"/>
              <w:rPr>
                <w:rFonts w:hint="default"/>
              </w:rPr>
            </w:pPr>
            <w:r>
              <w:t>8</w:t>
            </w:r>
          </w:p>
        </w:tc>
      </w:tr>
      <w:tr w14:paraId="2E5982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14:paraId="3A4DF432">
            <w:pPr>
              <w:pStyle w:val="51"/>
              <w:rPr>
                <w:rFonts w:hint="default"/>
              </w:rPr>
            </w:pPr>
          </w:p>
        </w:tc>
        <w:tc>
          <w:tcPr>
            <w:tcW w:w="1908" w:type="dxa"/>
            <w:vMerge w:val="continue"/>
            <w:vAlign w:val="center"/>
          </w:tcPr>
          <w:p w14:paraId="5A67A0B4">
            <w:pPr>
              <w:pStyle w:val="51"/>
              <w:rPr>
                <w:rFonts w:hint="default"/>
              </w:rPr>
            </w:pPr>
          </w:p>
        </w:tc>
        <w:tc>
          <w:tcPr>
            <w:tcW w:w="1121" w:type="dxa"/>
            <w:vMerge w:val="continue"/>
            <w:tcBorders>
              <w:right w:val="single" w:color="auto" w:sz="4" w:space="0"/>
            </w:tcBorders>
            <w:vAlign w:val="center"/>
          </w:tcPr>
          <w:p w14:paraId="09C2F21F">
            <w:pPr>
              <w:pStyle w:val="51"/>
              <w:rPr>
                <w:rFonts w:hint="default"/>
              </w:rPr>
            </w:pPr>
          </w:p>
        </w:tc>
        <w:tc>
          <w:tcPr>
            <w:tcW w:w="1777" w:type="dxa"/>
            <w:vMerge w:val="continue"/>
            <w:tcBorders>
              <w:left w:val="single" w:color="auto" w:sz="4" w:space="0"/>
            </w:tcBorders>
            <w:vAlign w:val="center"/>
          </w:tcPr>
          <w:p w14:paraId="4F41D59A">
            <w:pPr>
              <w:pStyle w:val="51"/>
              <w:rPr>
                <w:rFonts w:hint="default"/>
              </w:rPr>
            </w:pPr>
          </w:p>
        </w:tc>
        <w:tc>
          <w:tcPr>
            <w:tcW w:w="1777" w:type="dxa"/>
            <w:vMerge w:val="continue"/>
            <w:vAlign w:val="center"/>
          </w:tcPr>
          <w:p w14:paraId="76303094">
            <w:pPr>
              <w:pStyle w:val="51"/>
              <w:rPr>
                <w:rFonts w:hint="default"/>
              </w:rPr>
            </w:pPr>
          </w:p>
        </w:tc>
        <w:tc>
          <w:tcPr>
            <w:tcW w:w="1359" w:type="dxa"/>
            <w:vMerge w:val="continue"/>
            <w:vAlign w:val="center"/>
          </w:tcPr>
          <w:p w14:paraId="7D30E2EA">
            <w:pPr>
              <w:pStyle w:val="51"/>
              <w:rPr>
                <w:rFonts w:hint="default"/>
              </w:rPr>
            </w:pPr>
          </w:p>
        </w:tc>
      </w:tr>
      <w:tr w14:paraId="65FBF8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tcBorders>
              <w:bottom w:val="single" w:color="000000" w:sz="12" w:space="0"/>
            </w:tcBorders>
            <w:vAlign w:val="center"/>
          </w:tcPr>
          <w:p w14:paraId="660C64A8">
            <w:pPr>
              <w:pStyle w:val="51"/>
              <w:rPr>
                <w:rFonts w:hint="default"/>
              </w:rPr>
            </w:pPr>
          </w:p>
        </w:tc>
        <w:tc>
          <w:tcPr>
            <w:tcW w:w="1908" w:type="dxa"/>
            <w:tcBorders>
              <w:bottom w:val="single" w:color="000000" w:sz="12" w:space="0"/>
            </w:tcBorders>
            <w:vAlign w:val="center"/>
          </w:tcPr>
          <w:p w14:paraId="251C50FE">
            <w:pPr>
              <w:pStyle w:val="51"/>
              <w:rPr>
                <w:rFonts w:hint="default"/>
              </w:rPr>
            </w:pPr>
            <w:r>
              <w:t>60m</w:t>
            </w:r>
            <w:r>
              <w:rPr>
                <w:rFonts w:hint="eastAsia"/>
                <w:lang w:eastAsia="zh-CN"/>
              </w:rPr>
              <w:t>&lt;</w:t>
            </w:r>
            <w:r>
              <w:t>H</w:t>
            </w:r>
          </w:p>
        </w:tc>
        <w:tc>
          <w:tcPr>
            <w:tcW w:w="1121" w:type="dxa"/>
            <w:tcBorders>
              <w:bottom w:val="single" w:color="000000" w:sz="12" w:space="0"/>
              <w:right w:val="single" w:color="auto" w:sz="4" w:space="0"/>
            </w:tcBorders>
            <w:vAlign w:val="center"/>
          </w:tcPr>
          <w:p w14:paraId="6122EC7A">
            <w:pPr>
              <w:pStyle w:val="51"/>
              <w:rPr>
                <w:rFonts w:hint="default"/>
              </w:rPr>
            </w:pPr>
            <w:r>
              <w:t>40</w:t>
            </w:r>
          </w:p>
        </w:tc>
        <w:tc>
          <w:tcPr>
            <w:tcW w:w="1777" w:type="dxa"/>
            <w:tcBorders>
              <w:left w:val="single" w:color="auto" w:sz="4" w:space="0"/>
              <w:bottom w:val="single" w:color="000000" w:sz="12" w:space="0"/>
            </w:tcBorders>
            <w:vAlign w:val="center"/>
          </w:tcPr>
          <w:p w14:paraId="3BAB8A02">
            <w:pPr>
              <w:pStyle w:val="51"/>
              <w:rPr>
                <w:rFonts w:hint="default"/>
              </w:rPr>
            </w:pPr>
            <w:r>
              <w:t>20</w:t>
            </w:r>
          </w:p>
        </w:tc>
        <w:tc>
          <w:tcPr>
            <w:tcW w:w="1777" w:type="dxa"/>
            <w:tcBorders>
              <w:bottom w:val="single" w:color="000000" w:sz="12" w:space="0"/>
            </w:tcBorders>
            <w:vAlign w:val="center"/>
          </w:tcPr>
          <w:p w14:paraId="1354CEFB">
            <w:pPr>
              <w:pStyle w:val="51"/>
              <w:rPr>
                <w:rFonts w:hint="default"/>
              </w:rPr>
            </w:pPr>
            <w:r>
              <w:t>15</w:t>
            </w:r>
          </w:p>
        </w:tc>
        <w:tc>
          <w:tcPr>
            <w:tcW w:w="1359" w:type="dxa"/>
            <w:tcBorders>
              <w:bottom w:val="single" w:color="000000" w:sz="12" w:space="0"/>
            </w:tcBorders>
            <w:vAlign w:val="center"/>
          </w:tcPr>
          <w:p w14:paraId="729A5FB4">
            <w:pPr>
              <w:pStyle w:val="51"/>
              <w:rPr>
                <w:rFonts w:hint="default"/>
              </w:rPr>
            </w:pPr>
            <w:r>
              <w:t>12</w:t>
            </w:r>
          </w:p>
        </w:tc>
      </w:tr>
    </w:tbl>
    <w:p w14:paraId="3AA6590A">
      <w:pPr>
        <w:ind w:firstLine="560"/>
        <w:rPr>
          <w:sz w:val="28"/>
          <w:szCs w:val="22"/>
        </w:rPr>
      </w:pPr>
      <w:r>
        <w:rPr>
          <w:rFonts w:hint="eastAsia"/>
          <w:sz w:val="28"/>
          <w:szCs w:val="22"/>
        </w:rPr>
        <w:t>注：①高层建筑裙房的后退距离按照多、低层建筑控制。</w:t>
      </w:r>
    </w:p>
    <w:p w14:paraId="75102A97">
      <w:pPr>
        <w:ind w:firstLine="560"/>
        <w:rPr>
          <w:sz w:val="28"/>
          <w:szCs w:val="22"/>
        </w:rPr>
      </w:pPr>
      <w:r>
        <w:rPr>
          <w:rFonts w:hint="eastAsia"/>
          <w:sz w:val="28"/>
          <w:szCs w:val="22"/>
        </w:rPr>
        <w:t>②以上退线距离均自建筑外墙垂直投影线起计算。</w:t>
      </w:r>
    </w:p>
    <w:p w14:paraId="12E00ADC">
      <w:pPr>
        <w:ind w:firstLine="560"/>
        <w:rPr>
          <w:sz w:val="28"/>
          <w:szCs w:val="22"/>
        </w:rPr>
      </w:pPr>
      <w:r>
        <w:rPr>
          <w:rFonts w:hint="eastAsia"/>
          <w:sz w:val="28"/>
          <w:szCs w:val="22"/>
        </w:rPr>
        <w:t>③建筑首层为经营性用房的，其后退道路红线的距离在表5要求的前提下增加50%，且最小距离应不小于6米。</w:t>
      </w:r>
    </w:p>
    <w:p w14:paraId="5397AA2D">
      <w:pPr>
        <w:ind w:firstLine="560"/>
        <w:rPr>
          <w:sz w:val="28"/>
          <w:szCs w:val="22"/>
        </w:rPr>
      </w:pPr>
      <w:r>
        <w:rPr>
          <w:rFonts w:hint="eastAsia"/>
          <w:sz w:val="28"/>
          <w:szCs w:val="22"/>
        </w:rPr>
        <w:t>④历史文化保护街区内的建筑退让道路红线的要求，按照经批准的保护规划及详细规划确定。</w:t>
      </w:r>
    </w:p>
    <w:p w14:paraId="6D6AF167">
      <w:pPr>
        <w:spacing w:before="160" w:after="160"/>
        <w:ind w:firstLine="640"/>
      </w:pPr>
      <w:r>
        <w:rPr>
          <w:rFonts w:hint="eastAsia"/>
        </w:rPr>
        <w:t>（四）新建影剧院、游乐场、体育馆、展览馆、大型商场等有大量人流、车流集散的多、低层建筑（含高层建筑裙房），其主要出入口面临城市道路的后退道路规划红线的距离，除经批准的控制性详细规划另有规定以外，退距不得小于20米，并留出临时停车或者回车的场地。</w:t>
      </w:r>
    </w:p>
    <w:p w14:paraId="3D4F1C36">
      <w:pPr>
        <w:spacing w:before="160" w:after="160"/>
        <w:ind w:firstLine="640"/>
        <w:rPr>
          <w:b/>
          <w:bCs/>
        </w:rPr>
      </w:pPr>
      <w:r>
        <w:rPr>
          <w:rFonts w:hint="eastAsia"/>
        </w:rPr>
        <w:t>（五）建筑后退道路交叉口规划红线的距离，在符合本章有关退距要求下增加50%以上，不同等级道路相交路口，按照较高等级道路退距要求控制。在地块建设净用地红线范围内，多层建筑及高层建筑裙</w:t>
      </w:r>
      <w:r>
        <w:rPr>
          <w:rFonts w:hint="eastAsia"/>
          <w:lang w:eastAsia="zh-CN"/>
        </w:rPr>
        <w:t>楼</w:t>
      </w:r>
      <w:r>
        <w:rPr>
          <w:rFonts w:hint="eastAsia"/>
        </w:rPr>
        <w:t>规划道路</w:t>
      </w:r>
      <w:r>
        <w:rPr>
          <w:rFonts w:hint="eastAsia"/>
          <w:lang w:eastAsia="zh-CN"/>
        </w:rPr>
        <w:t>交叉口</w:t>
      </w:r>
      <w:r>
        <w:rPr>
          <w:rFonts w:hint="eastAsia"/>
        </w:rPr>
        <w:t>围合出的区域应设置开敞空间或集中绿地，且应做好景观设计，宜设置园林景观小品；如按集中绿地设置，应种植连续的灌木，间种乔木，不应只种植地被植物，同时应注意所种植的植物在机动车进出口视距三角形范围内不应遮挡行车视线。</w:t>
      </w:r>
    </w:p>
    <w:p w14:paraId="2094DD50">
      <w:pPr>
        <w:ind w:firstLine="640"/>
      </w:pPr>
      <w:r>
        <w:rPr>
          <w:rFonts w:hint="eastAsia"/>
        </w:rPr>
        <w:t>（六）建筑物的围墙、基础、台阶、管线、阳台和附属设施，不得超越规划道路红线。</w:t>
      </w:r>
    </w:p>
    <w:p w14:paraId="23CD7E45">
      <w:pPr>
        <w:ind w:firstLine="640"/>
      </w:pPr>
      <w:r>
        <w:rPr>
          <w:rFonts w:hint="eastAsia"/>
        </w:rPr>
        <w:t>地下建筑物后退规划道路红线的距离，应不小于地下建筑深度（即自室外地面至地下建筑物底板的距离）的0.5倍，且应不小于3米。</w:t>
      </w:r>
    </w:p>
    <w:p w14:paraId="3CF020FB">
      <w:pPr>
        <w:ind w:firstLine="640"/>
      </w:pPr>
      <w:r>
        <w:rPr>
          <w:rFonts w:hint="eastAsia"/>
        </w:rPr>
        <w:t>在道路交叉口视距三角形用地和前款所述建筑后退规划道路红线的距离内，不得设置零星构筑物。</w:t>
      </w:r>
    </w:p>
    <w:p w14:paraId="4570A91B">
      <w:pPr>
        <w:ind w:firstLine="640"/>
      </w:pPr>
      <w:r>
        <w:rPr>
          <w:rFonts w:hint="eastAsia"/>
        </w:rPr>
        <w:t>（七）沿河道管理范围两侧新建建筑物的，其后退河道管理范围界线距离在满足其它有关技术规定的同时，不得小于15米，法律、法规另有规定的除外。</w:t>
      </w:r>
    </w:p>
    <w:p w14:paraId="03FE4F4B">
      <w:pPr>
        <w:ind w:firstLine="640"/>
      </w:pPr>
      <w:r>
        <w:rPr>
          <w:rFonts w:hint="eastAsia"/>
        </w:rPr>
        <w:t>（八）沿山体周边新建建筑物的，其后退与建筑基地相同标高的山体自然坡脚线的距离不得小于15米，法律、法规另有规定的除外。</w:t>
      </w:r>
    </w:p>
    <w:p w14:paraId="5AF1C45E">
      <w:pPr>
        <w:pStyle w:val="47"/>
        <w:spacing w:after="240"/>
        <w:ind w:firstLine="640" w:firstLineChars="200"/>
        <w:outlineLvl w:val="1"/>
        <w:rPr>
          <w:rFonts w:hint="default"/>
        </w:rPr>
      </w:pPr>
      <w:bookmarkStart w:id="36" w:name="_Toc10436"/>
      <w:r>
        <w:t>三、建（构）筑物高度</w:t>
      </w:r>
      <w:bookmarkEnd w:id="36"/>
    </w:p>
    <w:p w14:paraId="26FF654C">
      <w:pPr>
        <w:ind w:firstLine="640"/>
      </w:pPr>
      <w:r>
        <w:rPr>
          <w:rFonts w:hint="eastAsia"/>
        </w:rPr>
        <w:t>（一）建（构）筑物高度控制除必须符合日照、建筑间距、消防等方面要求外，应同时符合本规定要求。</w:t>
      </w:r>
    </w:p>
    <w:p w14:paraId="1C0ABFD4">
      <w:pPr>
        <w:ind w:firstLine="640"/>
      </w:pPr>
      <w:r>
        <w:rPr>
          <w:rFonts w:hint="eastAsia"/>
        </w:rPr>
        <w:t>（二）除文物保护单位、国家安全机关、监狱、危险性工厂及其仓库、电站、电讯主机楼等对保卫或安全有特殊要求的单位外，建设项目临城市道路所设置的围墙均应采用通透式设计，且总高度不应大于2.5m。</w:t>
      </w:r>
    </w:p>
    <w:p w14:paraId="137265E7">
      <w:pPr>
        <w:ind w:firstLine="640"/>
      </w:pPr>
      <w:r>
        <w:rPr>
          <w:rFonts w:hint="eastAsia"/>
        </w:rPr>
        <w:t>（三）在文物保护单位建设控制地带内新建、改建建（构）筑物，其高度应符合建筑和文物保护的有关规定，并按经批准的城乡规划执行。</w:t>
      </w:r>
    </w:p>
    <w:p w14:paraId="303005D0">
      <w:pPr>
        <w:ind w:firstLine="640"/>
      </w:pPr>
      <w:r>
        <w:rPr>
          <w:rFonts w:hint="eastAsia"/>
        </w:rPr>
        <w:t>（四）有净空高度限制的飞机场、气象台、电台和</w:t>
      </w:r>
      <w:r>
        <w:rPr>
          <w:rFonts w:hint="eastAsia"/>
          <w:lang w:eastAsia="zh-CN"/>
        </w:rPr>
        <w:t>其他</w:t>
      </w:r>
      <w:r>
        <w:rPr>
          <w:rFonts w:hint="eastAsia"/>
        </w:rPr>
        <w:t>无线电通讯（含微波通讯）设施及对视线视廊有特殊要求的区域周围的新建、扩建、改建、重建建（构）筑物，其控制高度应符合有关净空及高度限制的规定。</w:t>
      </w:r>
    </w:p>
    <w:p w14:paraId="3E40966C">
      <w:pPr>
        <w:ind w:firstLine="640"/>
      </w:pPr>
      <w:r>
        <w:rPr>
          <w:rFonts w:hint="eastAsia"/>
        </w:rPr>
        <w:t>（五）个人自建住房应当符合《柳州市个人自建住房外观引导和控制规划》和所在片区控制性详细规划管控要求。原建筑规模已达到相应控制要求的，其重建面积不得超过原不动产权证或者房屋所有权证上注明的建筑面积。个人自建房底层层高原则上不大于3.5米，建筑高度原则上不大于11米。</w:t>
      </w:r>
    </w:p>
    <w:p w14:paraId="26C064B7">
      <w:pPr>
        <w:pStyle w:val="47"/>
        <w:ind w:firstLine="640" w:firstLineChars="200"/>
        <w:outlineLvl w:val="1"/>
        <w:rPr>
          <w:rFonts w:hint="default"/>
        </w:rPr>
      </w:pPr>
      <w:bookmarkStart w:id="37" w:name="_Toc29947"/>
      <w:r>
        <w:t>四、建筑沿路展开面</w:t>
      </w:r>
      <w:bookmarkEnd w:id="37"/>
    </w:p>
    <w:p w14:paraId="2E05C894">
      <w:pPr>
        <w:spacing w:before="160"/>
        <w:ind w:firstLine="640"/>
      </w:pPr>
      <w:r>
        <w:rPr>
          <w:rFonts w:hint="eastAsia"/>
        </w:rPr>
        <w:t>（一）住宅、办公、商业类建筑沿城市道路展开面长度，应当符合以下要求：</w:t>
      </w:r>
    </w:p>
    <w:p w14:paraId="04A099EF">
      <w:pPr>
        <w:ind w:firstLine="640"/>
      </w:pPr>
      <w:r>
        <w:rPr>
          <w:rFonts w:hint="eastAsia"/>
        </w:rPr>
        <w:t>1</w:t>
      </w:r>
      <w:r>
        <w:rPr>
          <w:rFonts w:hint="eastAsia" w:ascii="宋体" w:hAnsi="宋体" w:eastAsia="宋体" w:cs="宋体"/>
        </w:rPr>
        <w:t>.</w:t>
      </w:r>
      <w:r>
        <w:rPr>
          <w:rFonts w:hint="eastAsia"/>
        </w:rPr>
        <w:t>多</w:t>
      </w:r>
      <w:r>
        <w:rPr>
          <w:rFonts w:hint="eastAsia"/>
          <w:lang w:eastAsia="zh-CN"/>
        </w:rPr>
        <w:t>低层</w:t>
      </w:r>
      <w:r>
        <w:rPr>
          <w:rFonts w:hint="eastAsia"/>
        </w:rPr>
        <w:t>建筑、高层建筑裙楼位于道路交叉口沿多条城市道路的设置，沿一侧道路的建筑展开面长度不宜大于60米。同时，还应当符合以下规定：</w:t>
      </w:r>
    </w:p>
    <w:p w14:paraId="77E42E78">
      <w:pPr>
        <w:ind w:firstLine="640"/>
      </w:pPr>
      <w:r>
        <w:rPr>
          <w:rFonts w:hint="eastAsia"/>
        </w:rPr>
        <w:t>（1）交叉口道路中心线夹角小于等于90度的，沿路建筑的连续长度累计小于等于100米。</w:t>
      </w:r>
    </w:p>
    <w:p w14:paraId="6E77069B">
      <w:pPr>
        <w:ind w:firstLine="640"/>
      </w:pPr>
      <w:r>
        <w:rPr>
          <w:rFonts w:hint="eastAsia"/>
        </w:rPr>
        <w:t>（2）交叉口道路中心线夹角大于90度的，沿路建筑的连续长度累计小于等于80米。</w:t>
      </w:r>
    </w:p>
    <w:p w14:paraId="142F750D">
      <w:pPr>
        <w:ind w:firstLine="640"/>
      </w:pPr>
      <w:r>
        <w:rPr>
          <w:rFonts w:hint="eastAsia"/>
        </w:rPr>
        <w:t>2</w:t>
      </w:r>
      <w:r>
        <w:rPr>
          <w:rFonts w:hint="eastAsia" w:ascii="宋体" w:hAnsi="宋体" w:eastAsia="宋体" w:cs="宋体"/>
        </w:rPr>
        <w:t>.</w:t>
      </w:r>
      <w:r>
        <w:rPr>
          <w:rFonts w:hint="eastAsia"/>
        </w:rPr>
        <w:t>多低层建筑、高层建筑裙楼后退道路红线距离满足形成建筑通透面要求的，其沿路展开面长度可以适当加大，但不宜大于80米。</w:t>
      </w:r>
    </w:p>
    <w:p w14:paraId="3C2B0481">
      <w:pPr>
        <w:ind w:firstLine="640"/>
      </w:pPr>
      <w:r>
        <w:rPr>
          <w:rFonts w:hint="eastAsia"/>
        </w:rPr>
        <w:t>3</w:t>
      </w:r>
      <w:r>
        <w:rPr>
          <w:rFonts w:hint="eastAsia" w:ascii="宋体" w:hAnsi="宋体" w:eastAsia="宋体" w:cs="宋体"/>
        </w:rPr>
        <w:t>.</w:t>
      </w:r>
      <w:r>
        <w:rPr>
          <w:rFonts w:hint="eastAsia"/>
        </w:rPr>
        <w:t>高层建筑沿一侧道路设置的，平行城市道路的建筑展开面长度不宜大于60米。高层建筑展开面长度与其建筑高度的比值原则上小于等于0.618。</w:t>
      </w:r>
    </w:p>
    <w:p w14:paraId="4B77AA22">
      <w:pPr>
        <w:ind w:firstLine="640"/>
      </w:pPr>
      <w:r>
        <w:rPr>
          <w:rFonts w:hint="eastAsia"/>
        </w:rPr>
        <w:t>4</w:t>
      </w:r>
      <w:r>
        <w:rPr>
          <w:rFonts w:hint="eastAsia" w:ascii="宋体" w:hAnsi="宋体" w:eastAsia="宋体" w:cs="宋体"/>
        </w:rPr>
        <w:t>.</w:t>
      </w:r>
      <w:r>
        <w:rPr>
          <w:rFonts w:hint="eastAsia"/>
        </w:rPr>
        <w:t>多层商业建筑或者高层商业综合体裙楼单层建筑面积大于3600平方米并且总建筑面积大于20000平方米，建筑后退道路红线距离满足形成建筑通透面要求的，结合大型商业建筑布局需要，其建筑沿路展开面长度可适当加大。</w:t>
      </w:r>
    </w:p>
    <w:p w14:paraId="1BF25F33">
      <w:pPr>
        <w:spacing w:before="160" w:after="160"/>
        <w:ind w:firstLine="640"/>
      </w:pPr>
      <w:r>
        <w:rPr>
          <w:rFonts w:hint="eastAsia"/>
        </w:rPr>
        <w:t>（二）医院、博物馆等大型公共设施建筑，建筑沿路展开面长度原则不得大于60米；建筑后退道路红线满足形成建筑通透面要求的，建筑的展开面长度可以适当加大。</w:t>
      </w:r>
    </w:p>
    <w:p w14:paraId="10A568BD">
      <w:pPr>
        <w:spacing w:before="160"/>
        <w:ind w:firstLine="640"/>
      </w:pPr>
      <w:r>
        <w:rPr>
          <w:rFonts w:hint="eastAsia"/>
        </w:rPr>
        <w:t>（三）沿城市道路不得设置采光天井；毗邻地面建筑主体设置的采光天井、地下庭院等面宽不得超过主体建筑面宽的30%。</w:t>
      </w:r>
    </w:p>
    <w:p w14:paraId="7F3180FD">
      <w:pPr>
        <w:spacing w:before="160"/>
        <w:ind w:firstLine="640"/>
      </w:pPr>
      <w:r>
        <w:rPr>
          <w:rFonts w:hint="eastAsia"/>
        </w:rPr>
        <w:t>（四）沿路建筑后退道路红线距离符合以下规定的，可形成建筑通透面（即沿路非建筑围合空间的敞开面）：</w:t>
      </w:r>
    </w:p>
    <w:p w14:paraId="402B1497">
      <w:pPr>
        <w:ind w:firstLine="640"/>
      </w:pPr>
      <w:r>
        <w:rPr>
          <w:rFonts w:hint="eastAsia"/>
        </w:rPr>
        <w:t>临规划城市道路红线宽度大于30米的，沿路建筑与规划城市道路红线最小距离应不小于25米</w:t>
      </w:r>
      <w:r>
        <w:rPr>
          <w:rFonts w:hint="eastAsia"/>
          <w:lang w:eastAsia="zh-CN"/>
        </w:rPr>
        <w:t>；</w:t>
      </w:r>
      <w:r>
        <w:rPr>
          <w:rFonts w:hint="eastAsia"/>
        </w:rPr>
        <w:t>临规划城市道路宽度红线小于等于30米的，沿路建筑与规划城市道路红线最小距离应不小于15米。</w:t>
      </w:r>
    </w:p>
    <w:p w14:paraId="4B375A4E">
      <w:pPr>
        <w:spacing w:before="160" w:after="160"/>
        <w:ind w:firstLine="640"/>
      </w:pPr>
      <w:r>
        <w:rPr>
          <w:rFonts w:hint="eastAsia"/>
        </w:rPr>
        <w:t>（五）工业建筑沿城市道路展开面长度应当以符合工业生产工艺流程为主，同时还应当与城市景观环境以及工业区整体效果相协调。</w:t>
      </w:r>
    </w:p>
    <w:p w14:paraId="4ECC57AC">
      <w:pPr>
        <w:ind w:firstLine="640"/>
      </w:pPr>
      <w:r>
        <w:rPr>
          <w:rFonts w:hint="eastAsia"/>
        </w:rPr>
        <w:t>（六）建筑非沿路布置，同时，建筑处于周边城市道路、柳江、重要山体视廊等重要城市景观面可视范围内的，建筑的展开面长度参照沿路布置建筑标准控制。</w:t>
      </w:r>
    </w:p>
    <w:p w14:paraId="478B44A2">
      <w:pPr>
        <w:spacing w:before="160" w:after="160"/>
        <w:ind w:firstLine="640"/>
      </w:pPr>
      <w:r>
        <w:rPr>
          <w:rFonts w:hint="eastAsia"/>
        </w:rPr>
        <w:t>（七）确实有建设项目因特殊要求或者功能要求，需要超过本规定设置建筑沿城市道路展开面长度，应当结合景观效果、三维城市模拟分析进行研究论证。</w:t>
      </w:r>
    </w:p>
    <w:bookmarkEnd w:id="33"/>
    <w:bookmarkEnd w:id="34"/>
    <w:bookmarkEnd w:id="35"/>
    <w:p w14:paraId="38A8ECAA">
      <w:pPr>
        <w:pStyle w:val="47"/>
        <w:ind w:firstLine="640" w:firstLineChars="200"/>
        <w:outlineLvl w:val="1"/>
        <w:rPr>
          <w:rFonts w:hint="default"/>
        </w:rPr>
      </w:pPr>
      <w:bookmarkStart w:id="38" w:name="_Toc7917"/>
      <w:bookmarkStart w:id="39" w:name="_Toc717"/>
      <w:bookmarkStart w:id="40" w:name="_Toc24592"/>
      <w:bookmarkStart w:id="41" w:name="_Toc14621"/>
      <w:r>
        <w:t>五、场地竖向设计</w:t>
      </w:r>
      <w:bookmarkEnd w:id="38"/>
    </w:p>
    <w:p w14:paraId="1F2233AC">
      <w:pPr>
        <w:spacing w:before="160" w:after="160"/>
        <w:ind w:firstLine="640"/>
      </w:pPr>
      <w:r>
        <w:rPr>
          <w:rFonts w:hint="eastAsia"/>
        </w:rPr>
        <w:t>（一）竖向设计应结合国土空间规划、地形、地貌、工程地质条件、交通、排水、防洪、景观和经济等多方面的要求综合考虑，充分利用自然地形、地貌及自然景观，合理使用不同坡度的土地。</w:t>
      </w:r>
    </w:p>
    <w:p w14:paraId="453D9A28">
      <w:pPr>
        <w:spacing w:before="160" w:after="160"/>
        <w:ind w:firstLine="640"/>
      </w:pPr>
      <w:r>
        <w:rPr>
          <w:rFonts w:hint="eastAsia"/>
        </w:rPr>
        <w:t>（二）自然地形坡度小于 5％时，建设场地应采用平坡式（图一）。 自然地形坡度大于 8％时，宜采用台阶式，台阶之间应用护坡或挡土墙连接并用植被遮挡；高度大于2米的挡土墙和护坡的上、下缘与建筑物水平距离均应不小于3米（图二）。</w:t>
      </w:r>
    </w:p>
    <w:p w14:paraId="5272F750">
      <w:pPr>
        <w:spacing w:before="160" w:after="160"/>
        <w:ind w:firstLine="640"/>
      </w:pPr>
      <w:r>
        <w:rPr>
          <w:rFonts w:hint="eastAsia"/>
        </w:rPr>
        <w:t>（三） 挡土墙的高度宜为1.5至3米；超过6米时，宜退台处理， 退台宽度不应小于1.5 米（图三）。自然坡度大于 8％ 时，应设置人行步道，主要步道最大坡度宜小于 10% ，次要步道宜小于 15%（图四）。</w:t>
      </w:r>
    </w:p>
    <w:p w14:paraId="4AA1CE4B">
      <w:pPr>
        <w:spacing w:before="160" w:after="160" w:line="240" w:lineRule="auto"/>
        <w:ind w:firstLine="640"/>
      </w:pPr>
      <w:r>
        <w:drawing>
          <wp:inline distT="0" distB="0" distL="0" distR="0">
            <wp:extent cx="2361565" cy="1228090"/>
            <wp:effectExtent l="0" t="0" r="635" b="0"/>
            <wp:docPr id="10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365143" cy="1229968"/>
                    </a:xfrm>
                    <a:prstGeom prst="rect">
                      <a:avLst/>
                    </a:prstGeom>
                    <a:noFill/>
                  </pic:spPr>
                </pic:pic>
              </a:graphicData>
            </a:graphic>
          </wp:inline>
        </w:drawing>
      </w:r>
      <w:r>
        <w:drawing>
          <wp:inline distT="0" distB="0" distL="0" distR="0">
            <wp:extent cx="2481580" cy="1355090"/>
            <wp:effectExtent l="0" t="0" r="13970" b="0"/>
            <wp:docPr id="10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484303" cy="1356915"/>
                    </a:xfrm>
                    <a:prstGeom prst="rect">
                      <a:avLst/>
                    </a:prstGeom>
                    <a:noFill/>
                  </pic:spPr>
                </pic:pic>
              </a:graphicData>
            </a:graphic>
          </wp:inline>
        </w:drawing>
      </w:r>
    </w:p>
    <w:p w14:paraId="6EA1AF7E">
      <w:pPr>
        <w:pStyle w:val="51"/>
        <w:spacing w:afterLines="100"/>
        <w:rPr>
          <w:rFonts w:hint="default"/>
          <w:sz w:val="24"/>
          <w:szCs w:val="20"/>
        </w:rPr>
      </w:pPr>
      <w:r>
        <w:rPr>
          <w:sz w:val="24"/>
          <w:szCs w:val="20"/>
        </w:rPr>
        <w:t>图一                             图二</w:t>
      </w:r>
    </w:p>
    <w:p w14:paraId="71EBB00B">
      <w:pPr>
        <w:spacing w:before="160" w:after="160" w:line="240" w:lineRule="auto"/>
        <w:ind w:firstLine="0" w:firstLineChars="0"/>
      </w:pPr>
      <w:r>
        <w:drawing>
          <wp:inline distT="0" distB="0" distL="0" distR="0">
            <wp:extent cx="2273935" cy="1914525"/>
            <wp:effectExtent l="0" t="0" r="12065" b="0"/>
            <wp:docPr id="10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73935" cy="1914525"/>
                    </a:xfrm>
                    <a:prstGeom prst="rect">
                      <a:avLst/>
                    </a:prstGeom>
                    <a:noFill/>
                  </pic:spPr>
                </pic:pic>
              </a:graphicData>
            </a:graphic>
          </wp:inline>
        </w:drawing>
      </w:r>
      <w:r>
        <w:drawing>
          <wp:inline distT="0" distB="0" distL="0" distR="0">
            <wp:extent cx="2548255" cy="2023745"/>
            <wp:effectExtent l="0" t="0" r="4445" b="14605"/>
            <wp:docPr id="10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548255" cy="2023745"/>
                    </a:xfrm>
                    <a:prstGeom prst="rect">
                      <a:avLst/>
                    </a:prstGeom>
                    <a:noFill/>
                  </pic:spPr>
                </pic:pic>
              </a:graphicData>
            </a:graphic>
          </wp:inline>
        </w:drawing>
      </w:r>
    </w:p>
    <w:p w14:paraId="1141FFBD">
      <w:pPr>
        <w:spacing w:before="160" w:after="160"/>
        <w:ind w:firstLine="1920" w:firstLineChars="800"/>
        <w:rPr>
          <w:rFonts w:eastAsia="仿宋_GB2312"/>
          <w:sz w:val="24"/>
          <w:szCs w:val="20"/>
        </w:rPr>
      </w:pPr>
      <w:r>
        <w:rPr>
          <w:rFonts w:hint="eastAsia" w:eastAsia="仿宋_GB2312"/>
          <w:sz w:val="24"/>
          <w:szCs w:val="20"/>
        </w:rPr>
        <w:t>图三                          图四</w:t>
      </w:r>
    </w:p>
    <w:p w14:paraId="0979B11C">
      <w:pPr>
        <w:pStyle w:val="47"/>
        <w:ind w:firstLine="640" w:firstLineChars="200"/>
        <w:outlineLvl w:val="1"/>
        <w:rPr>
          <w:rFonts w:hint="default"/>
        </w:rPr>
      </w:pPr>
      <w:bookmarkStart w:id="42" w:name="_Toc27843"/>
      <w:r>
        <w:t>六、建筑平面设计</w:t>
      </w:r>
      <w:bookmarkEnd w:id="42"/>
    </w:p>
    <w:p w14:paraId="187A44D5">
      <w:pPr>
        <w:spacing w:before="160" w:after="160"/>
        <w:ind w:firstLine="640"/>
      </w:pPr>
      <w:r>
        <w:rPr>
          <w:rFonts w:hint="eastAsia"/>
        </w:rPr>
        <w:t>（一）除大型商业、文化、娱乐、工业等大空间公共建筑有特殊要求的建设项目以外，其他各类建筑物涉及阳台、凸窗、花架等设施的规划控制，应当符合本规定。</w:t>
      </w:r>
    </w:p>
    <w:p w14:paraId="60FF8381">
      <w:pPr>
        <w:spacing w:before="160"/>
        <w:ind w:firstLine="640"/>
      </w:pPr>
      <w:r>
        <w:rPr>
          <w:rFonts w:hint="eastAsia"/>
        </w:rPr>
        <w:t>（二）建筑物的阳台，应当符合以下要求：</w:t>
      </w:r>
    </w:p>
    <w:p w14:paraId="23D4E2AD">
      <w:pPr>
        <w:ind w:firstLine="640"/>
      </w:pPr>
      <w:r>
        <w:rPr>
          <w:rFonts w:hint="eastAsia"/>
        </w:rPr>
        <w:t>1</w:t>
      </w:r>
      <w:r>
        <w:rPr>
          <w:rFonts w:hint="eastAsia" w:ascii="宋体" w:hAnsi="宋体" w:eastAsia="宋体" w:cs="宋体"/>
        </w:rPr>
        <w:t>.</w:t>
      </w:r>
      <w:r>
        <w:rPr>
          <w:rFonts w:hint="eastAsia"/>
        </w:rPr>
        <w:t>面积计算和进深控制：</w:t>
      </w:r>
    </w:p>
    <w:p w14:paraId="5DF4A37D">
      <w:pPr>
        <w:ind w:firstLine="640"/>
      </w:pPr>
      <w:r>
        <w:rPr>
          <w:rFonts w:hint="eastAsia"/>
        </w:rPr>
        <w:t>（1）住宅建筑中</w:t>
      </w:r>
      <w:r>
        <w:rPr>
          <w:rFonts w:hint="eastAsia"/>
          <w:lang w:eastAsia="zh-CN"/>
        </w:rPr>
        <w:t>每</w:t>
      </w:r>
      <w:r>
        <w:rPr>
          <w:rFonts w:hint="eastAsia"/>
        </w:rPr>
        <w:t>套建筑内阳台水平投影面积与该套型建筑面积的比值不得超过30%，阳台数量不得超过居住空间（卧室、起居室（厅）的统称）个数。</w:t>
      </w:r>
    </w:p>
    <w:p w14:paraId="5D0D40A4">
      <w:pPr>
        <w:ind w:firstLine="640"/>
      </w:pPr>
      <w:r>
        <w:rPr>
          <w:rFonts w:hint="eastAsia"/>
        </w:rPr>
        <w:t>（2）阳台满足进深不大于2.4米（阳台的开敞长边外缘至建筑外墙的最大水平距离，下图L的长度为阳台进深），其计容建筑面积按围护设施或</w:t>
      </w:r>
      <w:r>
        <w:rPr>
          <w:rFonts w:hint="eastAsia"/>
          <w:lang w:eastAsia="zh-CN"/>
        </w:rPr>
        <w:t>围护结构</w:t>
      </w:r>
      <w:r>
        <w:rPr>
          <w:rFonts w:hint="eastAsia"/>
        </w:rPr>
        <w:t>的外表面所围空间水平投影面积的1/2计算，超出2.4米的部分按阳台底板水平投影面积计算容积率。</w:t>
      </w:r>
    </w:p>
    <w:p w14:paraId="1B069D3B">
      <w:pPr>
        <w:spacing w:before="160" w:after="160"/>
        <w:ind w:firstLine="2400" w:firstLineChars="1000"/>
        <w:rPr>
          <w:rFonts w:eastAsia="仿宋_GB2312"/>
          <w:sz w:val="24"/>
          <w:szCs w:val="20"/>
        </w:rPr>
      </w:pPr>
      <w:r>
        <w:rPr>
          <w:rFonts w:hint="eastAsia" w:eastAsia="仿宋_GB2312"/>
          <w:sz w:val="24"/>
          <w:szCs w:val="20"/>
        </w:rPr>
        <w:drawing>
          <wp:anchor distT="0" distB="0" distL="114300" distR="114300" simplePos="0" relativeHeight="251732992" behindDoc="0" locked="0" layoutInCell="1" allowOverlap="1">
            <wp:simplePos x="0" y="0"/>
            <wp:positionH relativeFrom="column">
              <wp:posOffset>246380</wp:posOffset>
            </wp:positionH>
            <wp:positionV relativeFrom="paragraph">
              <wp:posOffset>309245</wp:posOffset>
            </wp:positionV>
            <wp:extent cx="4860290" cy="1789430"/>
            <wp:effectExtent l="0" t="0" r="16510" b="1270"/>
            <wp:wrapTopAndBottom/>
            <wp:docPr id="110" name="图片 110" descr="55c3d3ad67c53562ef61ef0edc50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5c3d3ad67c53562ef61ef0edc504a5"/>
                    <pic:cNvPicPr>
                      <a:picLocks noChangeAspect="1"/>
                    </pic:cNvPicPr>
                  </pic:nvPicPr>
                  <pic:blipFill>
                    <a:blip r:embed="rId53"/>
                    <a:srcRect t="7906" b="5182"/>
                    <a:stretch>
                      <a:fillRect/>
                    </a:stretch>
                  </pic:blipFill>
                  <pic:spPr>
                    <a:xfrm>
                      <a:off x="0" y="0"/>
                      <a:ext cx="4860290" cy="1789430"/>
                    </a:xfrm>
                    <a:prstGeom prst="rect">
                      <a:avLst/>
                    </a:prstGeom>
                  </pic:spPr>
                </pic:pic>
              </a:graphicData>
            </a:graphic>
          </wp:anchor>
        </w:drawing>
      </w:r>
      <w:r>
        <w:rPr>
          <w:rFonts w:hint="eastAsia" w:eastAsia="仿宋_GB2312"/>
          <w:sz w:val="24"/>
          <w:szCs w:val="20"/>
        </w:rPr>
        <w:t>阳台示意图（L为阳台进深）</w:t>
      </w:r>
    </w:p>
    <w:p w14:paraId="2E00A421">
      <w:pPr>
        <w:ind w:firstLine="640"/>
      </w:pPr>
      <w:r>
        <w:rPr>
          <w:rFonts w:hint="eastAsia"/>
        </w:rPr>
        <w:t>（3）阳台连接的建筑空间应为客厅（餐厅）、卧室、厨房等住宅建筑基本功能空间，不得连接过道、储藏室、衣帽间等其他非起居空间。阳台与其连接的起居空间应有墙体明确划分，一侧墙体长度或两侧墙体合计长度应不小于0.6米。</w:t>
      </w:r>
    </w:p>
    <w:p w14:paraId="4962C4BD">
      <w:pPr>
        <w:ind w:firstLine="640"/>
      </w:pPr>
      <w:r>
        <w:rPr>
          <w:rFonts w:hint="eastAsia"/>
        </w:rPr>
        <w:t>住宅建筑中卧室使用面积不应小于 5平方米；兼起居室的卧室使用面积不应小于9平方米；卧室短边净宽不应小于 1.80米。厨房的使用面积不应小于 3.5平方米。</w:t>
      </w:r>
    </w:p>
    <w:p w14:paraId="11C8EFEE">
      <w:pPr>
        <w:ind w:firstLine="640"/>
      </w:pPr>
      <w:r>
        <w:rPr>
          <w:rFonts w:hint="eastAsia"/>
        </w:rPr>
        <w:t>（4）阳台须合理布局，不宜压占住宅建筑基本功能空间。阳台开敞面内不应出现墙、柱、落地玻璃及其他围护结构。‌</w:t>
      </w:r>
    </w:p>
    <w:p w14:paraId="22858033">
      <w:pPr>
        <w:ind w:firstLine="640"/>
      </w:pPr>
      <w:r>
        <w:rPr>
          <w:rFonts w:hint="eastAsia"/>
        </w:rPr>
        <w:t xml:space="preserve">（5）不符合上述控制要求的阳台按照其结构底板外围水平投影面积全面积计算计容建筑面积。各类非住宅建筑设置的阳台，应当按照其结构底板外围水平投影面积全面积计算计容建筑面积。 </w:t>
      </w:r>
    </w:p>
    <w:p w14:paraId="3A985C27">
      <w:pPr>
        <w:ind w:firstLine="640"/>
      </w:pPr>
      <w:r>
        <w:rPr>
          <w:rFonts w:hint="eastAsia"/>
        </w:rPr>
        <w:t>（6）住宅建筑中属于该户专有的类似于阳台的入户花园、各类平台、空中连廊等附属结构，无论其名称如何，只要符合阳台使用功能或与阳台板相连形成便于改造作为阳台使用空间的，均按阳台要求进行管控和计算容积率。</w:t>
      </w:r>
    </w:p>
    <w:p w14:paraId="09F4A966">
      <w:pPr>
        <w:ind w:firstLine="640"/>
      </w:pPr>
      <w:r>
        <w:rPr>
          <w:rFonts w:hint="eastAsia"/>
        </w:rPr>
        <w:t>2</w:t>
      </w:r>
      <w:r>
        <w:rPr>
          <w:rFonts w:hint="eastAsia" w:ascii="宋体" w:hAnsi="宋体" w:eastAsia="宋体" w:cs="宋体"/>
        </w:rPr>
        <w:t>.</w:t>
      </w:r>
      <w:r>
        <w:rPr>
          <w:rFonts w:hint="eastAsia"/>
        </w:rPr>
        <w:t>阳台设置的控制：</w:t>
      </w:r>
    </w:p>
    <w:p w14:paraId="540D3BCD">
      <w:pPr>
        <w:ind w:firstLine="640"/>
      </w:pPr>
      <w:r>
        <w:rPr>
          <w:rFonts w:hint="eastAsia"/>
        </w:rPr>
        <w:t>（1）住宅建筑间距从阳台外边缘起计算。</w:t>
      </w:r>
    </w:p>
    <w:p w14:paraId="76585B9C">
      <w:pPr>
        <w:ind w:firstLine="640"/>
      </w:pPr>
      <w:r>
        <w:rPr>
          <w:rFonts w:hint="eastAsia"/>
        </w:rPr>
        <w:t>（2）一户的阳台板相连的两个相邻阳台按照一个阳台进行管控。</w:t>
      </w:r>
    </w:p>
    <w:p w14:paraId="1DB82A85">
      <w:pPr>
        <w:ind w:firstLine="640"/>
      </w:pPr>
      <w:r>
        <w:rPr>
          <w:rFonts w:hint="eastAsia"/>
        </w:rPr>
        <w:t>（3）在阳台外侧设置的空调搁板，其垂直于阳台外边的宽度不得大于0.6米，且应靠阳台一侧设置，并不得与阳台共板。</w:t>
      </w:r>
    </w:p>
    <w:p w14:paraId="661F614C">
      <w:pPr>
        <w:ind w:firstLine="640"/>
      </w:pPr>
      <w:r>
        <w:rPr>
          <w:rFonts w:hint="eastAsia"/>
        </w:rPr>
        <w:t>（4）建筑沿街设置的阳台按照封闭景观效果设计。因城市景观设计需要，采取玻璃封闭处理的阳台，按阳台板水平投影面积的1/2计算计容建筑面积。</w:t>
      </w:r>
    </w:p>
    <w:p w14:paraId="30CB8AAE">
      <w:pPr>
        <w:ind w:firstLine="640"/>
      </w:pPr>
      <w:r>
        <w:rPr>
          <w:rFonts w:hint="eastAsia"/>
        </w:rPr>
        <w:t>（5）建筑外挑走廊、楼梯和楼梯平台等参照阳台设置规则计算建筑间距。</w:t>
      </w:r>
    </w:p>
    <w:p w14:paraId="1EBC0BBA">
      <w:pPr>
        <w:ind w:firstLine="640"/>
      </w:pPr>
      <w:r>
        <w:rPr>
          <w:rFonts w:hint="eastAsia"/>
        </w:rPr>
        <w:t>3</w:t>
      </w:r>
      <w:r>
        <w:rPr>
          <w:rFonts w:hint="eastAsia" w:ascii="宋体" w:hAnsi="宋体" w:eastAsia="宋体" w:cs="宋体"/>
        </w:rPr>
        <w:t>.</w:t>
      </w:r>
      <w:r>
        <w:rPr>
          <w:rFonts w:hint="eastAsia"/>
        </w:rPr>
        <w:t>立体庭院型阳台</w:t>
      </w:r>
    </w:p>
    <w:p w14:paraId="56AF902D">
      <w:pPr>
        <w:ind w:firstLine="640"/>
      </w:pPr>
      <w:r>
        <w:rPr>
          <w:rFonts w:hint="eastAsia"/>
        </w:rPr>
        <w:t>（1）住宅建筑套型建筑面积大于150平方米的，每户可设置一处立体庭院型阳台。</w:t>
      </w:r>
    </w:p>
    <w:p w14:paraId="163384A9">
      <w:pPr>
        <w:ind w:firstLine="640"/>
      </w:pPr>
      <w:r>
        <w:rPr>
          <w:rFonts w:hint="eastAsia"/>
        </w:rPr>
        <w:t>（2）满足如下设计要求的阳台为立体庭院型阳台，其建筑面积可不纳入容积率计算和产权登记面积：</w:t>
      </w:r>
    </w:p>
    <w:p w14:paraId="0723A70F">
      <w:pPr>
        <w:ind w:firstLine="640"/>
      </w:pPr>
      <w:r>
        <w:rPr>
          <w:rFonts w:hint="eastAsia"/>
        </w:rPr>
        <w:t>①阳台结构底板至顶板高度不小于两个自然层高度。</w:t>
      </w:r>
    </w:p>
    <w:p w14:paraId="19D3B36E">
      <w:pPr>
        <w:ind w:firstLine="640"/>
      </w:pPr>
      <w:r>
        <w:rPr>
          <w:rFonts w:hint="eastAsia"/>
        </w:rPr>
        <w:t>②立体庭院型阳台和</w:t>
      </w:r>
      <w:r>
        <w:rPr>
          <w:rFonts w:hint="eastAsia"/>
          <w:lang w:eastAsia="zh-CN"/>
        </w:rPr>
        <w:t>其他</w:t>
      </w:r>
      <w:r>
        <w:rPr>
          <w:rFonts w:hint="eastAsia"/>
        </w:rPr>
        <w:t>普通阳台面积之和应不大于住宅套型总建筑面积的40%。</w:t>
      </w:r>
    </w:p>
    <w:p w14:paraId="40FF715A">
      <w:pPr>
        <w:ind w:firstLine="640"/>
      </w:pPr>
      <w:r>
        <w:rPr>
          <w:rFonts w:hint="eastAsia"/>
        </w:rPr>
        <w:t>③立体庭院型阳台应三面临空，开敞面除必要的竖向受力承重结构外不得设置其他非承重围护结构，不可外接梁、板、</w:t>
      </w:r>
      <w:r>
        <w:rPr>
          <w:rFonts w:hint="eastAsia"/>
          <w:lang w:eastAsia="zh-CN"/>
        </w:rPr>
        <w:t>雨棚</w:t>
      </w:r>
      <w:r>
        <w:rPr>
          <w:rFonts w:hint="eastAsia"/>
        </w:rPr>
        <w:t>等</w:t>
      </w:r>
      <w:r>
        <w:rPr>
          <w:rFonts w:hint="eastAsia"/>
          <w:lang w:eastAsia="zh-CN"/>
        </w:rPr>
        <w:t>构件</w:t>
      </w:r>
      <w:r>
        <w:rPr>
          <w:rFonts w:hint="eastAsia"/>
        </w:rPr>
        <w:t>（防坠落设施除外）。</w:t>
      </w:r>
    </w:p>
    <w:p w14:paraId="0EDC2EA7">
      <w:pPr>
        <w:ind w:firstLine="640"/>
      </w:pPr>
      <w:r>
        <w:rPr>
          <w:rFonts w:hint="eastAsia"/>
        </w:rPr>
        <w:t>④立体庭院型阳台出挑宽度应不小于2.4米且不大于6米。</w:t>
      </w:r>
    </w:p>
    <w:p w14:paraId="058A1D0C">
      <w:pPr>
        <w:ind w:firstLine="640"/>
      </w:pPr>
      <w:r>
        <w:rPr>
          <w:rFonts w:hint="eastAsia"/>
        </w:rPr>
        <w:t>（3）立体庭院型阳台设置要求</w:t>
      </w:r>
    </w:p>
    <w:p w14:paraId="37D3B312">
      <w:pPr>
        <w:ind w:firstLine="640"/>
      </w:pPr>
      <w:r>
        <w:rPr>
          <w:rFonts w:hint="eastAsia"/>
        </w:rPr>
        <w:t>①立体庭院型阳台设置应满足消防、安全要求，护栏结合绿化布置时，应不低于国家规范技术规定的最低安全高度要求。</w:t>
      </w:r>
    </w:p>
    <w:p w14:paraId="2EE8BF57">
      <w:pPr>
        <w:ind w:firstLine="640"/>
      </w:pPr>
      <w:r>
        <w:rPr>
          <w:rFonts w:hint="eastAsia"/>
        </w:rPr>
        <w:t>②立体庭院型阳台设置应注意满足居民对住宅私密性的基本需求，套型住宅外墙下方为邻户立体庭院型阳台时，上层住户外窗不应设置凸窗，且应采取防止视线干扰及防坠落措施。</w:t>
      </w:r>
    </w:p>
    <w:p w14:paraId="0757F778">
      <w:pPr>
        <w:ind w:firstLine="640"/>
      </w:pPr>
      <w:r>
        <w:rPr>
          <w:rFonts w:hint="eastAsia"/>
        </w:rPr>
        <w:t>4</w:t>
      </w:r>
      <w:r>
        <w:rPr>
          <w:rFonts w:hint="eastAsia" w:ascii="宋体" w:hAnsi="宋体" w:eastAsia="宋体" w:cs="宋体"/>
        </w:rPr>
        <w:t>.</w:t>
      </w:r>
      <w:r>
        <w:rPr>
          <w:rFonts w:hint="eastAsia"/>
        </w:rPr>
        <w:t>建筑附属空间</w:t>
      </w:r>
    </w:p>
    <w:p w14:paraId="5DFD288C">
      <w:pPr>
        <w:ind w:firstLine="640"/>
      </w:pPr>
      <w:r>
        <w:rPr>
          <w:rFonts w:hint="eastAsia"/>
        </w:rPr>
        <w:t>（1）每套住宅户型的空间配置应符合以下要求：</w:t>
      </w:r>
    </w:p>
    <w:p w14:paraId="24F7F90E">
      <w:pPr>
        <w:ind w:firstLine="640"/>
      </w:pPr>
      <w:r>
        <w:rPr>
          <w:rFonts w:hint="eastAsia"/>
        </w:rPr>
        <w:t>①住宅设备平台、空调搁板、结构连板、户内凹口、户内洞口、内天井的投影面积之和与套型建筑面积的比值应≤7%。</w:t>
      </w:r>
    </w:p>
    <w:p w14:paraId="253FB10B">
      <w:pPr>
        <w:ind w:firstLine="640"/>
      </w:pPr>
      <w:r>
        <w:rPr>
          <w:rFonts w:hint="eastAsia"/>
        </w:rPr>
        <w:drawing>
          <wp:anchor distT="0" distB="0" distL="114300" distR="114300" simplePos="0" relativeHeight="251734016" behindDoc="0" locked="0" layoutInCell="1" allowOverlap="1">
            <wp:simplePos x="0" y="0"/>
            <wp:positionH relativeFrom="column">
              <wp:posOffset>533400</wp:posOffset>
            </wp:positionH>
            <wp:positionV relativeFrom="paragraph">
              <wp:posOffset>268605</wp:posOffset>
            </wp:positionV>
            <wp:extent cx="4679950" cy="2863850"/>
            <wp:effectExtent l="0" t="0" r="6350" b="12700"/>
            <wp:wrapTopAndBottom/>
            <wp:docPr id="111" name="图片 111" descr="175103196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751031967104"/>
                    <pic:cNvPicPr>
                      <a:picLocks noChangeAspect="1"/>
                    </pic:cNvPicPr>
                  </pic:nvPicPr>
                  <pic:blipFill>
                    <a:blip r:embed="rId54"/>
                    <a:stretch>
                      <a:fillRect/>
                    </a:stretch>
                  </pic:blipFill>
                  <pic:spPr>
                    <a:xfrm>
                      <a:off x="0" y="0"/>
                      <a:ext cx="4679950" cy="2863850"/>
                    </a:xfrm>
                    <a:prstGeom prst="rect">
                      <a:avLst/>
                    </a:prstGeom>
                  </pic:spPr>
                </pic:pic>
              </a:graphicData>
            </a:graphic>
          </wp:anchor>
        </w:drawing>
      </w:r>
    </w:p>
    <w:p w14:paraId="4D93BD32">
      <w:pPr>
        <w:ind w:firstLine="640"/>
      </w:pPr>
      <w:r>
        <w:rPr>
          <w:rFonts w:hint="eastAsia"/>
        </w:rPr>
        <w:t>②住宅建筑中每套住宅用于放置集中外部设备的设备平台只能设置一个，且水平投影面积不得大于3平方米，同时按照本规定阳台有关要求进行设计并控制其进深，其面积按照阳台有关技术规定，计入计容建筑面积。</w:t>
      </w:r>
    </w:p>
    <w:p w14:paraId="383BE898">
      <w:pPr>
        <w:autoSpaceDE w:val="0"/>
        <w:autoSpaceDN w:val="0"/>
        <w:adjustRightInd w:val="0"/>
        <w:spacing w:line="600" w:lineRule="exact"/>
        <w:ind w:firstLine="640"/>
        <w:jc w:val="left"/>
        <w:rPr>
          <w:u w:val="single"/>
        </w:rPr>
      </w:pPr>
      <w:r>
        <w:rPr>
          <w:rFonts w:hint="eastAsia"/>
        </w:rPr>
        <w:t>每套住宅用于放置分体式空调外机的室外设备平台的数量不得超过各类居住空间总数，每个空调外机室外设备平台水平投影面积小于等于1平方米，进深宽度小于等于0.8米，其面积不计入计容建筑面积指标。</w:t>
      </w:r>
    </w:p>
    <w:p w14:paraId="19C4B1B3">
      <w:pPr>
        <w:ind w:firstLine="640"/>
      </w:pPr>
      <w:r>
        <w:rPr>
          <w:rFonts w:hint="eastAsia"/>
        </w:rPr>
        <w:t>（2）建筑物的凸窗，其设置及面积计算应当符合以下要求：</w:t>
      </w:r>
    </w:p>
    <w:p w14:paraId="7FCBE62E">
      <w:pPr>
        <w:ind w:firstLine="640"/>
      </w:pPr>
      <w:r>
        <w:rPr>
          <w:rFonts w:hint="eastAsia"/>
        </w:rPr>
        <w:t>①凸窗外边线至外墙墙体外边线距离应不大于0.6米。凸窗窗台面与室内地面的高差应不小于0.3米。</w:t>
      </w:r>
    </w:p>
    <w:p w14:paraId="4BFD63AD">
      <w:pPr>
        <w:ind w:firstLine="640"/>
      </w:pPr>
      <w:r>
        <w:rPr>
          <w:rFonts w:hint="eastAsia"/>
        </w:rPr>
        <w:t>②窗台与室内地面高差在0.45米以下且结构净高在2.1米及以上的凸窗，应当按照其围护结构外围水平面积计算1/2面积。窗台与室内地面高差在0.45米以下且结构净高在2.1米以下的凸窗，窗台与室内地面高差在0.45米及以上的凸窗不计算建筑面积。</w:t>
      </w:r>
    </w:p>
    <w:p w14:paraId="2A3A8B55">
      <w:pPr>
        <w:ind w:firstLine="640"/>
      </w:pPr>
      <w:r>
        <w:rPr>
          <w:rFonts w:hint="eastAsia"/>
        </w:rPr>
        <w:t>③每套住宅内设置凸窗的数量不得超过居住空间的总个数。</w:t>
      </w:r>
    </w:p>
    <w:p w14:paraId="5F1AAAD6">
      <w:pPr>
        <w:ind w:firstLine="640"/>
      </w:pPr>
      <w:r>
        <w:rPr>
          <w:rFonts w:hint="eastAsia"/>
        </w:rPr>
        <w:t>④建筑外立面上下两个凸窗间不得实体封闭；建筑单体含有凸窗设计的，应当在申报图纸中提供凸窗大样图，以明确构造形式及其窗台高度。</w:t>
      </w:r>
    </w:p>
    <w:p w14:paraId="4345642D">
      <w:pPr>
        <w:spacing w:before="160" w:after="160"/>
        <w:ind w:firstLine="640"/>
      </w:pPr>
      <w:r>
        <w:rPr>
          <w:rFonts w:hint="eastAsia"/>
        </w:rPr>
        <w:t>（三）对于建筑物内设置有夹层的楼层，结构层高在2.2米及以上的，应当按夹层的投影面积计算容积率；结构层高在2.2米以下的，应当按夹层的投影面积1/2计算容积率。</w:t>
      </w:r>
    </w:p>
    <w:p w14:paraId="6BD4B63A">
      <w:pPr>
        <w:spacing w:before="160" w:after="160"/>
        <w:ind w:firstLine="640"/>
      </w:pPr>
      <w:r>
        <w:rPr>
          <w:rFonts w:hint="eastAsia"/>
        </w:rPr>
        <w:t>（四）建筑物的标志、标识应当结合建筑造型设置在建筑物外墙体的合适位置，不得设置在建筑</w:t>
      </w:r>
      <w:r>
        <w:rPr>
          <w:rFonts w:hint="eastAsia"/>
          <w:lang w:eastAsia="zh-CN"/>
        </w:rPr>
        <w:t>轮廓线</w:t>
      </w:r>
      <w:r>
        <w:rPr>
          <w:rFonts w:hint="eastAsia"/>
        </w:rPr>
        <w:t>之外。禁止在高层建筑的外墙或者阳台、露台外设置花池、花架。</w:t>
      </w:r>
    </w:p>
    <w:p w14:paraId="44B98636">
      <w:pPr>
        <w:pStyle w:val="47"/>
        <w:ind w:firstLine="640" w:firstLineChars="200"/>
        <w:outlineLvl w:val="1"/>
        <w:rPr>
          <w:rFonts w:hint="default"/>
        </w:rPr>
      </w:pPr>
      <w:bookmarkStart w:id="43" w:name="_Toc31218"/>
      <w:r>
        <w:t>七、建筑层高</w:t>
      </w:r>
      <w:bookmarkEnd w:id="43"/>
    </w:p>
    <w:p w14:paraId="578D402A">
      <w:pPr>
        <w:ind w:firstLine="640"/>
      </w:pPr>
      <w:r>
        <w:rPr>
          <w:rFonts w:hint="eastAsia"/>
        </w:rPr>
        <w:t>（一）住宅建筑层高应不小于3米。住宅建筑层高在3.5米及以下的，按照住宅建筑自然层数1层计算住宅建筑面积和容积率；住宅建筑层高大于3.5米小于等于6.5米的，按照建筑面积2倍计算容积率；住宅建筑层高大于6.5米的，按照建筑面积3倍计算容积率，且依次每增加3米增加1层计容面积。住宅建筑底层的电梯、楼梯井、门厅、过道等公共通行集散空间部分按照其实际建筑面积计算容积率。</w:t>
      </w:r>
    </w:p>
    <w:p w14:paraId="18144FAA">
      <w:pPr>
        <w:ind w:firstLine="640"/>
      </w:pPr>
      <w:r>
        <w:rPr>
          <w:rFonts w:hint="eastAsia"/>
        </w:rPr>
        <w:t>（二）办公建筑层高在5米及以下的，按照办公建筑自然层数1层计算办公建筑面积和容积率，当办公建筑层高大于5米小于等于7米的，按照建筑面积2倍计算容积率；办公建筑层高大于7米的，按照建筑面积3倍计算容积率，且依次每增加3米增加1层计容面积。办公建筑的门厅、大堂、中庭、内廊、采光厅等按照其实际建筑面积计算容积率。</w:t>
      </w:r>
    </w:p>
    <w:p w14:paraId="265E84AE">
      <w:pPr>
        <w:ind w:firstLine="640"/>
      </w:pPr>
      <w:r>
        <w:rPr>
          <w:rFonts w:hint="eastAsia"/>
        </w:rPr>
        <w:t>（三）商业建筑层高在5米及以下的，按照商业建筑自然层数1层计算商业建筑面积和容积率，层高大于5米小于等于8米的，按照建筑面积2倍计算容积率。商业建筑层高大于8米的，按照建筑面积3倍计算容积率，且依次每增加3米增加1层计容面积。</w:t>
      </w:r>
    </w:p>
    <w:p w14:paraId="3360C1FA">
      <w:pPr>
        <w:ind w:firstLine="640"/>
      </w:pPr>
      <w:r>
        <w:rPr>
          <w:rFonts w:hint="eastAsia"/>
        </w:rPr>
        <w:t>建筑面积应不小于2000平方米的超市、大型商场、娱乐场所等功能集中布置的大型空间商业用房，其建筑高度可以申请适当提高，按照其实际建筑面积计算容积率。其门厅、大堂、中庭、内廊、采光厅等功能用房，可以按照其实际建筑面积计算容积率。</w:t>
      </w:r>
    </w:p>
    <w:p w14:paraId="5D647F13">
      <w:pPr>
        <w:ind w:firstLine="640"/>
      </w:pPr>
      <w:r>
        <w:rPr>
          <w:rFonts w:hint="eastAsia"/>
        </w:rPr>
        <w:t>（四）工业厂房和仓储用房等建筑，建筑层高在8米及以下的，按照建筑自然层数1层计算建筑面积和容积率，建筑层高大于8米的，按照建筑面积2倍计算容积率。</w:t>
      </w:r>
    </w:p>
    <w:p w14:paraId="18DBFC4B">
      <w:pPr>
        <w:ind w:firstLine="640"/>
      </w:pPr>
      <w:r>
        <w:rPr>
          <w:rFonts w:hint="eastAsia"/>
        </w:rPr>
        <w:t>（五）在建筑物地下室（含人防地下室）、半地下室内设置的停车库及坡道、行车道等交通空间，和必要的设备用房以及为其服务的交通设施部分可按下列情况计算容积率：</w:t>
      </w:r>
    </w:p>
    <w:p w14:paraId="5A4BD293">
      <w:pPr>
        <w:ind w:firstLine="640"/>
      </w:pPr>
      <w:r>
        <w:rPr>
          <w:rFonts w:hint="eastAsia"/>
        </w:rPr>
        <w:t>1</w:t>
      </w:r>
      <w:r>
        <w:rPr>
          <w:rFonts w:hint="eastAsia" w:ascii="宋体" w:hAnsi="宋体" w:eastAsia="宋体" w:cs="宋体"/>
        </w:rPr>
        <w:t>.</w:t>
      </w:r>
      <w:r>
        <w:rPr>
          <w:rFonts w:hint="eastAsia"/>
        </w:rPr>
        <w:t>地下停车库层高在2.2米及以上的，以室外地坪为基准，地下室、半地下室的顶板面高出室外地面小于等于1米的，建筑面积不计入项目容积率；当地上部分大于1米的，该层地下室、半地下室应当按照水平投影面积计入容积率。</w:t>
      </w:r>
    </w:p>
    <w:p w14:paraId="43AE6727">
      <w:pPr>
        <w:ind w:firstLine="640"/>
      </w:pPr>
      <w:r>
        <w:rPr>
          <w:rFonts w:hint="eastAsia"/>
        </w:rPr>
        <w:t>2</w:t>
      </w:r>
      <w:r>
        <w:rPr>
          <w:rFonts w:hint="eastAsia" w:ascii="宋体" w:hAnsi="宋体" w:eastAsia="宋体" w:cs="宋体"/>
        </w:rPr>
        <w:t>.</w:t>
      </w:r>
      <w:r>
        <w:rPr>
          <w:rFonts w:hint="eastAsia"/>
        </w:rPr>
        <w:t>地下室停车库层高在2.2米以下的，以室外地坪为基准，地下室的顶板面高出室外地面不超过该层层高的1/3的，建筑面积不计入容积率。不符合本项上述控制要求的，应当按照水平投影面积的1/2计入容积率。</w:t>
      </w:r>
    </w:p>
    <w:p w14:paraId="28D883D4">
      <w:pPr>
        <w:ind w:firstLine="640"/>
      </w:pPr>
      <w:r>
        <w:rPr>
          <w:rFonts w:hint="eastAsia"/>
        </w:rPr>
        <w:t>3</w:t>
      </w:r>
      <w:r>
        <w:rPr>
          <w:rFonts w:hint="eastAsia" w:ascii="宋体" w:hAnsi="宋体" w:eastAsia="宋体" w:cs="宋体"/>
        </w:rPr>
        <w:t>.</w:t>
      </w:r>
      <w:r>
        <w:rPr>
          <w:rFonts w:hint="eastAsia"/>
        </w:rPr>
        <w:t>当出现建筑室外地坪标高不一致的，参照周边最近的城市道路标高确定室外地坪，建设基地室外地坪标高与邻近城市道路标高的高差应不大于0.5米。</w:t>
      </w:r>
    </w:p>
    <w:p w14:paraId="2E999F8B">
      <w:pPr>
        <w:ind w:firstLine="640"/>
      </w:pPr>
      <w:r>
        <w:rPr>
          <w:rFonts w:hint="eastAsia"/>
        </w:rPr>
        <w:t>4</w:t>
      </w:r>
      <w:r>
        <w:rPr>
          <w:rFonts w:hint="eastAsia" w:ascii="宋体" w:hAnsi="宋体" w:eastAsia="宋体" w:cs="宋体"/>
        </w:rPr>
        <w:t>.</w:t>
      </w:r>
      <w:r>
        <w:rPr>
          <w:rFonts w:hint="eastAsia"/>
        </w:rPr>
        <w:t>地下空间中有关商业、娱乐、市场等经营性用房和套型住宅的地下室专属用房、仓储用房的建筑层高应符合本条第（一）项至第（四）项控制要求。</w:t>
      </w:r>
    </w:p>
    <w:p w14:paraId="4FC59749">
      <w:pPr>
        <w:ind w:firstLine="640"/>
      </w:pPr>
      <w:r>
        <w:rPr>
          <w:rFonts w:hint="eastAsia"/>
        </w:rPr>
        <w:t>（六）由于建设场地地势高差起伏，部分建筑存在负层（即该层建筑一侧在室外地面以下，另一侧室外地面以上）的建筑设计，其投影空间不计入建筑密度；其建筑用途作为车库（含相应的设备用房）的，建筑面积可以不计入容积率，作为其他用途时建筑面积应当计入容积率。</w:t>
      </w:r>
    </w:p>
    <w:p w14:paraId="7A9416C5">
      <w:pPr>
        <w:ind w:firstLine="640"/>
      </w:pPr>
      <w:r>
        <w:rPr>
          <w:rFonts w:hint="eastAsia"/>
        </w:rPr>
        <w:t>（七）建筑底层架空作为布置绿化小品、开敞休闲等公共用途的，架空层层高应当在3米以上，其建筑面积可不计入容积率，但电梯井、门厅、过道等围合部分建筑面积应当计入容积率。该层应当满足以下条件：以柱、剪力墙落地，视线通透、空间开敞。该层应当计入建筑层数。</w:t>
      </w:r>
    </w:p>
    <w:p w14:paraId="4051F6E1">
      <w:pPr>
        <w:ind w:firstLine="640"/>
      </w:pPr>
      <w:r>
        <w:rPr>
          <w:rFonts w:hint="eastAsia"/>
        </w:rPr>
        <w:t>（八）除骑楼建筑建于建设净用地以外，沿街建筑底层作为架空通道和骑楼底层投影部分的空间应当计入建筑密度，但是其对应建筑面积不计入容积率。</w:t>
      </w:r>
    </w:p>
    <w:p w14:paraId="4FEA94A7">
      <w:pPr>
        <w:pStyle w:val="47"/>
        <w:ind w:firstLine="640" w:firstLineChars="200"/>
        <w:outlineLvl w:val="1"/>
        <w:rPr>
          <w:rFonts w:hint="default"/>
        </w:rPr>
      </w:pPr>
      <w:bookmarkStart w:id="44" w:name="_Toc8516"/>
      <w:r>
        <w:t>八、其他</w:t>
      </w:r>
      <w:bookmarkEnd w:id="44"/>
    </w:p>
    <w:p w14:paraId="4976F5AF">
      <w:pPr>
        <w:spacing w:before="160"/>
        <w:ind w:firstLine="640"/>
      </w:pPr>
      <w:r>
        <w:rPr>
          <w:rFonts w:hint="eastAsia"/>
        </w:rPr>
        <w:t>（一）以下住宅建筑空间可不纳入容积率计算：</w:t>
      </w:r>
    </w:p>
    <w:p w14:paraId="07D12242">
      <w:pPr>
        <w:ind w:firstLine="640"/>
      </w:pPr>
      <w:r>
        <w:rPr>
          <w:rFonts w:hint="eastAsia"/>
        </w:rPr>
        <w:t>1</w:t>
      </w:r>
      <w:r>
        <w:rPr>
          <w:rFonts w:hint="eastAsia" w:ascii="宋体" w:hAnsi="宋体" w:eastAsia="宋体" w:cs="宋体"/>
        </w:rPr>
        <w:t>.</w:t>
      </w:r>
      <w:r>
        <w:rPr>
          <w:rFonts w:hint="eastAsia"/>
        </w:rPr>
        <w:t>既有住宅项目为满足安全疏散、改善垂直交通等而增设必要的消防楼梯、连廊、无障碍设施、电梯等，其建筑面积可不纳入容积率计算。</w:t>
      </w:r>
    </w:p>
    <w:p w14:paraId="7DD530ED">
      <w:pPr>
        <w:ind w:firstLine="640"/>
      </w:pPr>
      <w:r>
        <w:rPr>
          <w:rFonts w:hint="eastAsia"/>
        </w:rPr>
        <w:t>2</w:t>
      </w:r>
      <w:r>
        <w:rPr>
          <w:rFonts w:hint="eastAsia" w:ascii="宋体" w:hAnsi="宋体" w:eastAsia="宋体" w:cs="宋体"/>
        </w:rPr>
        <w:t>.</w:t>
      </w:r>
      <w:r>
        <w:rPr>
          <w:rFonts w:hint="eastAsia"/>
        </w:rPr>
        <w:t>新建住宅项目为满足消防、人防要求及必要的基本功能要求而设置的室外的地下室出地面楼梯间、风井、风机房，以及位于建筑天面的出屋面楼梯间，电梯机房、水箱间、风井、烟道、设备管井、风机房等，其建筑面积可不纳入容积率计算。</w:t>
      </w:r>
    </w:p>
    <w:p w14:paraId="5BF39BCC">
      <w:pPr>
        <w:ind w:firstLine="640"/>
      </w:pPr>
      <w:r>
        <w:rPr>
          <w:rFonts w:hint="eastAsia"/>
        </w:rPr>
        <w:t>3</w:t>
      </w:r>
      <w:r>
        <w:rPr>
          <w:rFonts w:hint="eastAsia" w:ascii="宋体" w:hAnsi="宋体" w:eastAsia="宋体" w:cs="宋体"/>
        </w:rPr>
        <w:t>.</w:t>
      </w:r>
      <w:r>
        <w:rPr>
          <w:rFonts w:hint="eastAsia"/>
        </w:rPr>
        <w:t>高层、超高层建筑避难层（间）的建筑面积不计入容积率，其建筑层高原则上不超过标准层层高。</w:t>
      </w:r>
    </w:p>
    <w:p w14:paraId="67EC67EF">
      <w:pPr>
        <w:ind w:firstLine="640"/>
      </w:pPr>
      <w:r>
        <w:rPr>
          <w:rFonts w:hint="eastAsia"/>
        </w:rPr>
        <w:t>4</w:t>
      </w:r>
      <w:r>
        <w:rPr>
          <w:rFonts w:hint="eastAsia" w:ascii="宋体" w:hAnsi="宋体" w:eastAsia="宋体" w:cs="宋体"/>
        </w:rPr>
        <w:t>.</w:t>
      </w:r>
      <w:r>
        <w:rPr>
          <w:rFonts w:hint="eastAsia"/>
        </w:rPr>
        <w:t>室外居民健身场所结合底层架空休闲开敞空间设置时，其建筑面积</w:t>
      </w:r>
      <w:r>
        <w:rPr>
          <w:rFonts w:hint="eastAsia"/>
          <w:lang w:eastAsia="zh-CN"/>
        </w:rPr>
        <w:t>可不</w:t>
      </w:r>
      <w:r>
        <w:rPr>
          <w:rFonts w:hint="eastAsia"/>
        </w:rPr>
        <w:t>纳入容积率计算。</w:t>
      </w:r>
    </w:p>
    <w:p w14:paraId="6955CBB1">
      <w:pPr>
        <w:ind w:firstLine="640"/>
      </w:pPr>
      <w:r>
        <w:rPr>
          <w:rFonts w:hint="eastAsia"/>
        </w:rPr>
        <w:t>5</w:t>
      </w:r>
      <w:r>
        <w:rPr>
          <w:rFonts w:hint="eastAsia" w:ascii="宋体" w:hAnsi="宋体" w:eastAsia="宋体" w:cs="宋体"/>
        </w:rPr>
        <w:t>.</w:t>
      </w:r>
      <w:r>
        <w:rPr>
          <w:rFonts w:hint="eastAsia"/>
        </w:rPr>
        <w:t>住宅小区内提供公共功能的大门、风雨连廊、亭台楼阁等非封闭的建（构）筑物可不纳入容积率计算，但需计入建筑密度指标，且项目总平布局仍需满足绿地率、停车、消防等地面空间管控要求。</w:t>
      </w:r>
    </w:p>
    <w:p w14:paraId="2D9694C5">
      <w:pPr>
        <w:ind w:firstLine="640"/>
      </w:pPr>
      <w:r>
        <w:rPr>
          <w:rFonts w:hint="eastAsia"/>
        </w:rPr>
        <w:t>6</w:t>
      </w:r>
      <w:r>
        <w:rPr>
          <w:rFonts w:hint="eastAsia" w:ascii="宋体" w:hAnsi="宋体" w:eastAsia="宋体" w:cs="宋体"/>
        </w:rPr>
        <w:t>.</w:t>
      </w:r>
      <w:r>
        <w:rPr>
          <w:rFonts w:hint="eastAsia"/>
        </w:rPr>
        <w:t>在建筑物地下室（含人防地下室）内设置的停车库及坡道、行车道等交通空间，和必要的设备用房等不计入容积率。</w:t>
      </w:r>
    </w:p>
    <w:p w14:paraId="5E6C65B9">
      <w:pPr>
        <w:spacing w:before="160"/>
        <w:ind w:firstLine="640"/>
      </w:pPr>
      <w:r>
        <w:rPr>
          <w:rFonts w:hint="eastAsia"/>
        </w:rPr>
        <w:t>（二）大门、门卫室等永久性建（构）筑物应当符合以下要求：</w:t>
      </w:r>
    </w:p>
    <w:p w14:paraId="69A0D510">
      <w:pPr>
        <w:ind w:firstLine="640"/>
      </w:pPr>
      <w:r>
        <w:rPr>
          <w:rFonts w:hint="eastAsia"/>
        </w:rPr>
        <w:t>1</w:t>
      </w:r>
      <w:r>
        <w:rPr>
          <w:rFonts w:hint="eastAsia" w:ascii="宋体" w:hAnsi="宋体" w:eastAsia="宋体" w:cs="宋体"/>
        </w:rPr>
        <w:t>.</w:t>
      </w:r>
      <w:r>
        <w:rPr>
          <w:rFonts w:hint="eastAsia"/>
        </w:rPr>
        <w:t>建筑物设置有门卫室的，建设单位应当将门卫室作为建设工程组成部分，其建筑面积、建筑密度应当计入项目容积率及建筑密度。</w:t>
      </w:r>
    </w:p>
    <w:p w14:paraId="054A94C6">
      <w:pPr>
        <w:ind w:firstLine="640"/>
      </w:pPr>
      <w:r>
        <w:rPr>
          <w:rFonts w:hint="eastAsia"/>
        </w:rPr>
        <w:t>2</w:t>
      </w:r>
      <w:r>
        <w:rPr>
          <w:rFonts w:hint="eastAsia" w:ascii="宋体" w:hAnsi="宋体" w:eastAsia="宋体" w:cs="宋体"/>
        </w:rPr>
        <w:t>.</w:t>
      </w:r>
      <w:r>
        <w:rPr>
          <w:rFonts w:hint="eastAsia"/>
        </w:rPr>
        <w:t>大门应当按照围墙要求退道路红线、用地界线，建筑基地不得超过用地红线范围。有顶盖无围护结构的大门，按照其顶盖水平投影面积计算建筑密度。</w:t>
      </w:r>
    </w:p>
    <w:p w14:paraId="5E6AE385">
      <w:pPr>
        <w:ind w:firstLine="640"/>
      </w:pPr>
      <w:r>
        <w:rPr>
          <w:rFonts w:hint="eastAsia"/>
        </w:rPr>
        <w:t>3</w:t>
      </w:r>
      <w:r>
        <w:rPr>
          <w:rFonts w:hint="eastAsia" w:ascii="宋体" w:hAnsi="宋体" w:eastAsia="宋体" w:cs="宋体"/>
        </w:rPr>
        <w:t>.</w:t>
      </w:r>
      <w:r>
        <w:rPr>
          <w:rFonts w:hint="eastAsia"/>
        </w:rPr>
        <w:t>门卫室应当结合出入口相邻的规划建筑整体设置，建筑位置应当在建筑控制线内建设。确实需要独立设置的门卫室，应当按照围墙要求退道路红线、用地界线，建筑面积小于等于10平方米，其中工业项目小于等于20平方米，且其建筑基地不得超过用地红线范围。独立设置的门卫室建筑面积大于上述技术规定面积的，应当按照建筑要求退让道路红线、用地界线。</w:t>
      </w:r>
    </w:p>
    <w:p w14:paraId="555CAE4D">
      <w:pPr>
        <w:ind w:firstLine="640"/>
      </w:pPr>
      <w:r>
        <w:rPr>
          <w:rFonts w:hint="eastAsia"/>
        </w:rPr>
        <w:t>4</w:t>
      </w:r>
      <w:r>
        <w:rPr>
          <w:rFonts w:hint="eastAsia" w:ascii="宋体" w:hAnsi="宋体" w:eastAsia="宋体" w:cs="宋体"/>
        </w:rPr>
        <w:t>.</w:t>
      </w:r>
      <w:r>
        <w:rPr>
          <w:rFonts w:hint="eastAsia"/>
        </w:rPr>
        <w:t>独立设置的门卫室建筑高度不得大于5米，结合其他建筑设置的门卫室建筑高度可以根据实际情况确定。同时，应当按照以下方式计算容积率：</w:t>
      </w:r>
    </w:p>
    <w:p w14:paraId="3C1A4CA2">
      <w:pPr>
        <w:ind w:firstLine="640"/>
      </w:pPr>
      <w:r>
        <w:rPr>
          <w:rFonts w:hint="eastAsia"/>
        </w:rPr>
        <w:t>门卫室建筑层高小于等于5米的，按照门卫室建筑自然层数1层计算建筑面积并计入容积率；门卫室建筑层高大于5米小于等于7米的，不论层内是否有隔层，按照建筑面积2倍计算容积率；门卫室建筑层高大于7米的，按照建筑面积3倍计算容积率，同时，按照每增加3米增加1层计容面积计算容积率。</w:t>
      </w:r>
    </w:p>
    <w:p w14:paraId="2B1CCB6B">
      <w:pPr>
        <w:spacing w:after="160"/>
        <w:ind w:firstLine="640"/>
      </w:pPr>
      <w:r>
        <w:rPr>
          <w:rFonts w:hint="eastAsia"/>
        </w:rPr>
        <w:t>5</w:t>
      </w:r>
      <w:r>
        <w:rPr>
          <w:rFonts w:hint="eastAsia" w:ascii="宋体" w:hAnsi="宋体" w:eastAsia="宋体" w:cs="宋体"/>
        </w:rPr>
        <w:t>.</w:t>
      </w:r>
      <w:r>
        <w:rPr>
          <w:rFonts w:hint="eastAsia"/>
        </w:rPr>
        <w:t>军事设施、监狱、涉密单位等对大门、门卫室的建设有特殊管理控制要求的，按照相关控制要求执行。</w:t>
      </w:r>
    </w:p>
    <w:p w14:paraId="15260BCB">
      <w:pPr>
        <w:spacing w:after="160"/>
        <w:ind w:firstLine="0" w:firstLineChars="0"/>
      </w:pPr>
    </w:p>
    <w:bookmarkEnd w:id="39"/>
    <w:bookmarkEnd w:id="40"/>
    <w:bookmarkEnd w:id="41"/>
    <w:p w14:paraId="404F2035">
      <w:pPr>
        <w:spacing w:before="160"/>
        <w:ind w:firstLine="640"/>
        <w:sectPr>
          <w:footerReference r:id="rId23" w:type="default"/>
          <w:footerReference r:id="rId24" w:type="even"/>
          <w:pgSz w:w="11906" w:h="16838"/>
          <w:pgMar w:top="2098" w:right="1474" w:bottom="1985" w:left="1588" w:header="851" w:footer="992" w:gutter="0"/>
          <w:pgNumType w:fmt="numberInDash" w:start="4"/>
          <w:cols w:space="425" w:num="1"/>
          <w:docGrid w:type="lines" w:linePitch="312" w:charSpace="0"/>
        </w:sectPr>
      </w:pPr>
    </w:p>
    <w:p w14:paraId="2FB186AF">
      <w:pPr>
        <w:pStyle w:val="47"/>
        <w:outlineLvl w:val="9"/>
        <w:rPr>
          <w:rFonts w:hint="default"/>
        </w:rPr>
        <w:sectPr>
          <w:footerReference r:id="rId25" w:type="default"/>
          <w:footerReference r:id="rId26" w:type="even"/>
          <w:pgSz w:w="11906" w:h="16838"/>
          <w:pgMar w:top="2098" w:right="1474" w:bottom="1985" w:left="1588" w:header="851" w:footer="992" w:gutter="0"/>
          <w:pgNumType w:fmt="numberInDash"/>
          <w:cols w:space="425" w:num="1"/>
          <w:docGrid w:type="lines" w:linePitch="312" w:charSpace="0"/>
        </w:sectPr>
      </w:pPr>
      <w:r>
        <w:rPr>
          <w:rFonts w:hint="default"/>
        </w:rPr>
        <w:pict>
          <v:shape id="_x0000_s2080" o:spid="_x0000_s2080" o:spt="202" type="#_x0000_t202" style="position:absolute;left:0pt;margin-left:206pt;margin-top:97.65pt;height:100.15pt;width:243.85pt;z-index:251679744;mso-width-relative:page;mso-height-relative:page;" filled="f" stroked="f" coordsize="21600,21600" o:gfxdata="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FhRO3dAAAACwEAAA8AAAAAAAAAAQAgAAAA&#10;IgAAAGRycy9kb3ducmV2LnhtbFBLAQIUABQAAAAIAIdO4kDqlWEWPwIAAGkEAAAOAAAAAAAAAAEA&#10;IAAAACwBAABkcnMvZTJvRG9jLnhtbFBLBQYAAAAABgAGAFkBAADdBQAAAAA=&#10;">
            <v:path/>
            <v:fill on="f" focussize="0,0"/>
            <v:stroke on="f" weight="0.5pt" joinstyle="miter"/>
            <v:imagedata o:title=""/>
            <o:lock v:ext="edit"/>
            <v:textbox>
              <w:txbxContent>
                <w:p w14:paraId="3A1FB7E8">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第四章</w:t>
                  </w:r>
                </w:p>
                <w:p w14:paraId="285A9480">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公共设施与人居环境</w:t>
                  </w:r>
                </w:p>
              </w:txbxContent>
            </v:textbox>
          </v:shape>
        </w:pict>
      </w:r>
      <w:r>
        <w:rPr>
          <w:rFonts w:hint="default"/>
        </w:rPr>
        <w:pict>
          <v:shape id="_x0000_s2079" o:spid="_x0000_s2079" o:spt="100" style="position:absolute;left:0pt;margin-left:432.85pt;margin-top:-104.55pt;height:840.8pt;width:0pt;z-index:251678720;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Jc5hs2gAAAA0BAAAPAAAAAAAAAAEAIAAAACIAAABkcnMvZG93bnJldi54bWxQ&#10;SwECFAAUAAAACACHTuJAoo402a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rPr>
          <w:rFonts w:hint="default"/>
        </w:rPr>
        <w:pict>
          <v:shape id="_x0000_s2078" o:spid="_x0000_s2078" o:spt="100" style="position:absolute;left:0pt;margin-left:263.5pt;margin-top:135.5pt;height:0pt;width:169.8pt;z-index:25168076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CvUC0M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rPr>
          <w:rFonts w:hint="default"/>
        </w:rPr>
        <w:pict>
          <v:rect id="_x0000_s2077" o:spid="_x0000_s2077" o:spt="1" style="position:absolute;left:0pt;margin-left:-79.4pt;margin-top:-104.75pt;height:846.05pt;width:599pt;z-index:251675648;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ARcnZsiAIAAAgF&#10;AAAOAAAAAAAAAAEAIAAAACgBAABkcnMvZTJvRG9jLnhtbFBLBQYAAAAABgAGAFkBAAAiBgAAAAA=&#10;">
            <v:path/>
            <v:fill on="t" focussize="0,0"/>
            <v:stroke on="f" weight="1pt"/>
            <v:imagedata o:title=""/>
            <o:lock v:ext="edit"/>
          </v:rect>
        </w:pict>
      </w:r>
      <w:r>
        <w:rPr>
          <w:rFonts w:hint="default"/>
        </w:rPr>
        <w:pict>
          <v:rect id="_x0000_s2076" o:spid="_x0000_s2076" o:spt="1" style="position:absolute;left:0pt;margin-left:-78.95pt;margin-top:173.4pt;height:23.4pt;width:595.3pt;z-index:251676672;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IIgTtI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eEK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IIgTtIcCAAAG&#10;BQAADgAAAAAAAAABACAAAAAqAQAAZHJzL2Uyb0RvYy54bWxQSwUGAAAAAAYABgBZAQAAIwYAAAAA&#10;">
            <v:path/>
            <v:fill on="t" focussize="0,0"/>
            <v:stroke on="f" weight="1pt"/>
            <v:imagedata o:title=""/>
            <o:lock v:ext="edit"/>
          </v:rect>
        </w:pict>
      </w:r>
    </w:p>
    <w:p w14:paraId="1E4E9A88">
      <w:pPr>
        <w:pStyle w:val="47"/>
        <w:jc w:val="center"/>
        <w:rPr>
          <w:rFonts w:hint="default"/>
          <w:sz w:val="36"/>
          <w:szCs w:val="28"/>
        </w:rPr>
      </w:pPr>
      <w:bookmarkStart w:id="45" w:name="_Toc878"/>
      <w:bookmarkStart w:id="46" w:name="_Toc26077"/>
      <w:r>
        <w:rPr>
          <w:sz w:val="36"/>
          <w:szCs w:val="28"/>
        </w:rPr>
        <w:t>第四章 公共设施与人居环境</w:t>
      </w:r>
      <w:bookmarkEnd w:id="24"/>
      <w:bookmarkEnd w:id="45"/>
      <w:bookmarkEnd w:id="46"/>
    </w:p>
    <w:p w14:paraId="274C24FB">
      <w:pPr>
        <w:pStyle w:val="47"/>
        <w:ind w:firstLine="640" w:firstLineChars="200"/>
        <w:outlineLvl w:val="1"/>
        <w:rPr>
          <w:rFonts w:hint="default"/>
        </w:rPr>
      </w:pPr>
      <w:bookmarkStart w:id="47" w:name="_Toc13011"/>
      <w:bookmarkStart w:id="48" w:name="_Toc19905"/>
      <w:bookmarkStart w:id="49" w:name="_Toc14558"/>
      <w:r>
        <w:t>一、分类标准</w:t>
      </w:r>
      <w:bookmarkEnd w:id="47"/>
      <w:bookmarkEnd w:id="48"/>
      <w:bookmarkEnd w:id="49"/>
    </w:p>
    <w:p w14:paraId="585B97C9">
      <w:pPr>
        <w:spacing w:before="160" w:after="160"/>
        <w:ind w:firstLine="640"/>
      </w:pPr>
      <w:r>
        <w:rPr>
          <w:rFonts w:hint="eastAsia"/>
        </w:rPr>
        <w:t>（一）居住区的配套设施建设应当坚持统一规划、合理布局、因地制宜、综合开发、配套建设的原则，坚持配套设施优先建设的原则。</w:t>
      </w:r>
    </w:p>
    <w:p w14:paraId="24E38FF2">
      <w:pPr>
        <w:spacing w:before="160" w:after="160"/>
        <w:ind w:firstLine="640"/>
      </w:pPr>
      <w:r>
        <w:rPr>
          <w:rFonts w:hint="eastAsia"/>
        </w:rPr>
        <w:t>（二）居住区配套设施按照国家对居住区分级有关技术规定进行配置。</w:t>
      </w:r>
    </w:p>
    <w:p w14:paraId="34CBD156">
      <w:pPr>
        <w:pStyle w:val="47"/>
        <w:ind w:firstLine="640" w:firstLineChars="200"/>
        <w:outlineLvl w:val="1"/>
        <w:rPr>
          <w:rFonts w:hint="default"/>
        </w:rPr>
      </w:pPr>
      <w:bookmarkStart w:id="50" w:name="_Toc13763"/>
      <w:bookmarkStart w:id="51" w:name="_Toc25951"/>
      <w:bookmarkStart w:id="52" w:name="_Toc23649"/>
      <w:r>
        <w:t>二、布局标准</w:t>
      </w:r>
      <w:bookmarkEnd w:id="50"/>
      <w:bookmarkEnd w:id="51"/>
      <w:bookmarkEnd w:id="52"/>
    </w:p>
    <w:p w14:paraId="6F23DF36">
      <w:pPr>
        <w:spacing w:before="160" w:after="160"/>
        <w:ind w:firstLine="640"/>
      </w:pPr>
      <w:r>
        <w:rPr>
          <w:rFonts w:hint="eastAsia"/>
        </w:rPr>
        <w:t>（一）结合各级居住区在城市中的位置以及现有设施的分布情况，自然资源主管部门可以根据城乡规划需要统筹安排，调整配套设施项目的位置。</w:t>
      </w:r>
    </w:p>
    <w:p w14:paraId="0E3ECB51">
      <w:pPr>
        <w:spacing w:before="160" w:after="160"/>
        <w:ind w:firstLine="640"/>
      </w:pPr>
      <w:r>
        <w:rPr>
          <w:rFonts w:hint="eastAsia"/>
        </w:rPr>
        <w:t>（二）社区综合服务设施的建设应当符合国家政策和国家标准集中规划建设。其中，社区组织工作用房应当设置于地上建筑第一、二层，符合可以独立对外使用的要求。居民健身场所可以结合绿地临路设置。内设球类运动场地及其它健身运动设施，应当采取相应的隔音措施避免对居民生活环境造成干扰，其面积不计入绿地率。</w:t>
      </w:r>
    </w:p>
    <w:p w14:paraId="5A6CD5BB">
      <w:pPr>
        <w:spacing w:before="160" w:after="160"/>
        <w:ind w:firstLine="640"/>
      </w:pPr>
      <w:r>
        <w:rPr>
          <w:rFonts w:hint="eastAsia"/>
        </w:rPr>
        <w:t>（三）新建的公厕、垃圾转运站应当沿城市道路设置，符合可以独立对外使用的要求。</w:t>
      </w:r>
    </w:p>
    <w:p w14:paraId="2C1F39F0">
      <w:pPr>
        <w:pStyle w:val="47"/>
        <w:ind w:firstLine="640" w:firstLineChars="200"/>
        <w:outlineLvl w:val="1"/>
        <w:rPr>
          <w:rFonts w:hint="default"/>
        </w:rPr>
      </w:pPr>
      <w:bookmarkStart w:id="53" w:name="_Toc19546"/>
      <w:bookmarkStart w:id="54" w:name="_Toc2044"/>
      <w:r>
        <w:t>三、配套停车位设置标准</w:t>
      </w:r>
      <w:bookmarkEnd w:id="53"/>
    </w:p>
    <w:p w14:paraId="31EB2DAF">
      <w:pPr>
        <w:ind w:firstLine="640"/>
      </w:pPr>
      <w:r>
        <w:rPr>
          <w:rFonts w:hint="eastAsia"/>
        </w:rPr>
        <w:t>建设项目实施配建停车场面积 （泊位），应当符合以下规定：</w:t>
      </w:r>
    </w:p>
    <w:p w14:paraId="19ABBCB7">
      <w:pPr>
        <w:spacing w:before="160" w:after="160"/>
        <w:ind w:firstLine="640"/>
      </w:pPr>
      <w:r>
        <w:rPr>
          <w:rFonts w:hint="eastAsia"/>
        </w:rPr>
        <w:t>（一）新建（含整体改造）建设项目应当按照表6、表7、表8规定的标准分别配建机动车和非机动车泊位，改扩建（含局部改造）配建要求结合实际情况酌情调整。</w:t>
      </w:r>
    </w:p>
    <w:p w14:paraId="2B2CD68A">
      <w:pPr>
        <w:spacing w:before="160" w:after="160"/>
        <w:ind w:firstLine="640"/>
      </w:pPr>
      <w:r>
        <w:rPr>
          <w:rFonts w:hint="eastAsia"/>
        </w:rPr>
        <w:t>（二）建设项目配建停车设施的车位指标，机动车以小型汽车为计算当量，非机动车以自行车为计算当量，各类车型车位可以按照表8换算系数换算成当量车型车位进行计算。</w:t>
      </w:r>
    </w:p>
    <w:p w14:paraId="2D55FB1D">
      <w:pPr>
        <w:spacing w:before="160" w:after="160"/>
        <w:ind w:firstLine="640"/>
      </w:pPr>
      <w:r>
        <w:rPr>
          <w:rFonts w:hint="eastAsia"/>
        </w:rPr>
        <w:t>（三）建设项目按照配建指标计算出的车位数，尾数小于1个的按照1个计算。</w:t>
      </w:r>
    </w:p>
    <w:p w14:paraId="06400AFE">
      <w:pPr>
        <w:spacing w:before="160" w:after="160"/>
        <w:ind w:firstLine="640"/>
      </w:pPr>
      <w:r>
        <w:rPr>
          <w:rFonts w:hint="eastAsia"/>
        </w:rPr>
        <w:t>（四）配套机动车停车位原则上不设置机动车子母车位，因合理利用空间确需设置子母停车位的，一组子母停车位只按照一个当量停车位统计停车位数量。新建项目配套的机动车停车位应当采用标准停车位设计，超过规划条件基本配设数量要求增设的机动车停车位方可设置为微型车位和机械式车位。</w:t>
      </w:r>
    </w:p>
    <w:p w14:paraId="4FA40220">
      <w:pPr>
        <w:pStyle w:val="51"/>
        <w:spacing w:beforeLines="100"/>
        <w:rPr>
          <w:rFonts w:hint="default"/>
        </w:rPr>
      </w:pPr>
      <w:r>
        <w:t>表6 机动车标准车位配建指标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61"/>
        <w:gridCol w:w="3001"/>
        <w:gridCol w:w="690"/>
        <w:gridCol w:w="690"/>
      </w:tblGrid>
      <w:tr w14:paraId="275C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141" w:type="dxa"/>
            <w:gridSpan w:val="2"/>
            <w:vMerge w:val="restart"/>
            <w:vAlign w:val="center"/>
          </w:tcPr>
          <w:p w14:paraId="19B32E7A">
            <w:pPr>
              <w:pStyle w:val="51"/>
              <w:rPr>
                <w:rFonts w:hint="default"/>
              </w:rPr>
            </w:pPr>
            <w:r>
              <w:t>建设项目类型</w:t>
            </w:r>
          </w:p>
        </w:tc>
        <w:tc>
          <w:tcPr>
            <w:tcW w:w="3001" w:type="dxa"/>
            <w:vMerge w:val="restart"/>
            <w:vAlign w:val="center"/>
          </w:tcPr>
          <w:p w14:paraId="18BC4698">
            <w:pPr>
              <w:pStyle w:val="51"/>
              <w:rPr>
                <w:rFonts w:hint="default"/>
              </w:rPr>
            </w:pPr>
            <w:r>
              <w:t>计算单位</w:t>
            </w:r>
          </w:p>
        </w:tc>
        <w:tc>
          <w:tcPr>
            <w:tcW w:w="1380" w:type="dxa"/>
            <w:gridSpan w:val="2"/>
            <w:vAlign w:val="bottom"/>
          </w:tcPr>
          <w:p w14:paraId="6BCF69C7">
            <w:pPr>
              <w:pStyle w:val="51"/>
              <w:rPr>
                <w:rFonts w:hint="default"/>
              </w:rPr>
            </w:pPr>
            <w:r>
              <w:t>机动车指标</w:t>
            </w:r>
          </w:p>
        </w:tc>
      </w:tr>
      <w:tr w14:paraId="41BE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141" w:type="dxa"/>
            <w:gridSpan w:val="2"/>
            <w:vMerge w:val="continue"/>
            <w:vAlign w:val="center"/>
          </w:tcPr>
          <w:p w14:paraId="15B19F5B">
            <w:pPr>
              <w:pStyle w:val="51"/>
              <w:rPr>
                <w:rFonts w:hint="default"/>
              </w:rPr>
            </w:pPr>
          </w:p>
        </w:tc>
        <w:tc>
          <w:tcPr>
            <w:tcW w:w="3001" w:type="dxa"/>
            <w:vMerge w:val="continue"/>
            <w:vAlign w:val="center"/>
          </w:tcPr>
          <w:p w14:paraId="467F1A71">
            <w:pPr>
              <w:pStyle w:val="51"/>
              <w:rPr>
                <w:rFonts w:hint="default"/>
              </w:rPr>
            </w:pPr>
          </w:p>
        </w:tc>
        <w:tc>
          <w:tcPr>
            <w:tcW w:w="690" w:type="dxa"/>
            <w:vAlign w:val="bottom"/>
          </w:tcPr>
          <w:p w14:paraId="24E247B6">
            <w:pPr>
              <w:pStyle w:val="51"/>
              <w:rPr>
                <w:rFonts w:hint="default"/>
              </w:rPr>
            </w:pPr>
            <w:r>
              <w:t>旧区</w:t>
            </w:r>
          </w:p>
        </w:tc>
        <w:tc>
          <w:tcPr>
            <w:tcW w:w="690" w:type="dxa"/>
            <w:vAlign w:val="bottom"/>
          </w:tcPr>
          <w:p w14:paraId="12E9A997">
            <w:pPr>
              <w:pStyle w:val="51"/>
              <w:rPr>
                <w:rFonts w:hint="default"/>
              </w:rPr>
            </w:pPr>
            <w:r>
              <w:t>新区</w:t>
            </w:r>
          </w:p>
        </w:tc>
      </w:tr>
      <w:tr w14:paraId="30FF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14:paraId="2F32705A">
            <w:pPr>
              <w:pStyle w:val="51"/>
              <w:rPr>
                <w:rFonts w:hint="default"/>
              </w:rPr>
            </w:pPr>
            <w:r>
              <w:t>住宅</w:t>
            </w:r>
          </w:p>
        </w:tc>
        <w:tc>
          <w:tcPr>
            <w:tcW w:w="3061" w:type="dxa"/>
            <w:vAlign w:val="center"/>
          </w:tcPr>
          <w:p w14:paraId="3FF015C4">
            <w:pPr>
              <w:pStyle w:val="51"/>
              <w:rPr>
                <w:rFonts w:hint="default"/>
              </w:rPr>
            </w:pPr>
            <w:r>
              <w:t>商品房</w:t>
            </w:r>
          </w:p>
        </w:tc>
        <w:tc>
          <w:tcPr>
            <w:tcW w:w="3001" w:type="dxa"/>
            <w:vAlign w:val="center"/>
          </w:tcPr>
          <w:p w14:paraId="32F1BBBA">
            <w:pPr>
              <w:pStyle w:val="51"/>
              <w:rPr>
                <w:rFonts w:hint="default"/>
              </w:rPr>
            </w:pPr>
            <w:r>
              <w:t>车位/户</w:t>
            </w:r>
          </w:p>
        </w:tc>
        <w:tc>
          <w:tcPr>
            <w:tcW w:w="690" w:type="dxa"/>
            <w:vAlign w:val="center"/>
          </w:tcPr>
          <w:p w14:paraId="409C6674">
            <w:pPr>
              <w:pStyle w:val="51"/>
              <w:rPr>
                <w:rFonts w:hint="default"/>
              </w:rPr>
            </w:pPr>
            <w:r>
              <w:t xml:space="preserve">1 </w:t>
            </w:r>
          </w:p>
        </w:tc>
        <w:tc>
          <w:tcPr>
            <w:tcW w:w="690" w:type="dxa"/>
            <w:vAlign w:val="center"/>
          </w:tcPr>
          <w:p w14:paraId="7FD42D60">
            <w:pPr>
              <w:pStyle w:val="51"/>
              <w:rPr>
                <w:rFonts w:hint="default"/>
              </w:rPr>
            </w:pPr>
            <w:r>
              <w:t>1.2</w:t>
            </w:r>
          </w:p>
        </w:tc>
      </w:tr>
      <w:tr w14:paraId="3A7F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2F57D05D">
            <w:pPr>
              <w:pStyle w:val="51"/>
              <w:rPr>
                <w:rFonts w:hint="default"/>
              </w:rPr>
            </w:pPr>
          </w:p>
        </w:tc>
        <w:tc>
          <w:tcPr>
            <w:tcW w:w="3061" w:type="dxa"/>
            <w:vAlign w:val="center"/>
          </w:tcPr>
          <w:p w14:paraId="5F95D9CA">
            <w:pPr>
              <w:pStyle w:val="51"/>
              <w:rPr>
                <w:rFonts w:hint="default"/>
              </w:rPr>
            </w:pPr>
            <w:r>
              <w:t>城中村改造地块</w:t>
            </w:r>
          </w:p>
        </w:tc>
        <w:tc>
          <w:tcPr>
            <w:tcW w:w="3001" w:type="dxa"/>
            <w:vAlign w:val="center"/>
          </w:tcPr>
          <w:p w14:paraId="67B1DE3C">
            <w:pPr>
              <w:pStyle w:val="51"/>
              <w:rPr>
                <w:rFonts w:hint="default"/>
              </w:rPr>
            </w:pPr>
            <w:r>
              <w:t>车位/户</w:t>
            </w:r>
          </w:p>
        </w:tc>
        <w:tc>
          <w:tcPr>
            <w:tcW w:w="690" w:type="dxa"/>
            <w:vAlign w:val="center"/>
          </w:tcPr>
          <w:p w14:paraId="2DAE26FD">
            <w:pPr>
              <w:pStyle w:val="51"/>
              <w:rPr>
                <w:rFonts w:hint="default"/>
              </w:rPr>
            </w:pPr>
            <w:r>
              <w:t>1</w:t>
            </w:r>
          </w:p>
        </w:tc>
        <w:tc>
          <w:tcPr>
            <w:tcW w:w="690" w:type="dxa"/>
            <w:vAlign w:val="center"/>
          </w:tcPr>
          <w:p w14:paraId="23822C82">
            <w:pPr>
              <w:pStyle w:val="51"/>
              <w:rPr>
                <w:rFonts w:hint="default"/>
              </w:rPr>
            </w:pPr>
            <w:r>
              <w:t>1</w:t>
            </w:r>
          </w:p>
        </w:tc>
      </w:tr>
      <w:tr w14:paraId="0DD0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66C2BF1E">
            <w:pPr>
              <w:pStyle w:val="51"/>
              <w:rPr>
                <w:rFonts w:hint="default"/>
              </w:rPr>
            </w:pPr>
          </w:p>
        </w:tc>
        <w:tc>
          <w:tcPr>
            <w:tcW w:w="3061" w:type="dxa"/>
            <w:vAlign w:val="center"/>
          </w:tcPr>
          <w:p w14:paraId="25DC3DFC">
            <w:pPr>
              <w:pStyle w:val="51"/>
              <w:rPr>
                <w:rFonts w:hint="default"/>
              </w:rPr>
            </w:pPr>
            <w:r>
              <w:t>保障性住房</w:t>
            </w:r>
          </w:p>
        </w:tc>
        <w:tc>
          <w:tcPr>
            <w:tcW w:w="3001" w:type="dxa"/>
            <w:vAlign w:val="center"/>
          </w:tcPr>
          <w:p w14:paraId="778FF9F3">
            <w:pPr>
              <w:pStyle w:val="51"/>
              <w:rPr>
                <w:rFonts w:hint="default"/>
              </w:rPr>
            </w:pPr>
            <w:r>
              <w:t>车位/户</w:t>
            </w:r>
          </w:p>
        </w:tc>
        <w:tc>
          <w:tcPr>
            <w:tcW w:w="690" w:type="dxa"/>
            <w:vAlign w:val="center"/>
          </w:tcPr>
          <w:p w14:paraId="000C51A9">
            <w:pPr>
              <w:pStyle w:val="51"/>
              <w:rPr>
                <w:rFonts w:hint="default"/>
              </w:rPr>
            </w:pPr>
            <w:r>
              <w:t>0.5</w:t>
            </w:r>
          </w:p>
        </w:tc>
        <w:tc>
          <w:tcPr>
            <w:tcW w:w="690" w:type="dxa"/>
            <w:vAlign w:val="center"/>
          </w:tcPr>
          <w:p w14:paraId="2F2D3B21">
            <w:pPr>
              <w:pStyle w:val="51"/>
              <w:rPr>
                <w:rFonts w:hint="default"/>
              </w:rPr>
            </w:pPr>
            <w:r>
              <w:t>0.5</w:t>
            </w:r>
          </w:p>
        </w:tc>
      </w:tr>
      <w:tr w14:paraId="7822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70A33B6D">
            <w:pPr>
              <w:pStyle w:val="51"/>
              <w:rPr>
                <w:rFonts w:hint="default"/>
              </w:rPr>
            </w:pPr>
          </w:p>
        </w:tc>
        <w:tc>
          <w:tcPr>
            <w:tcW w:w="3061" w:type="dxa"/>
            <w:vAlign w:val="center"/>
          </w:tcPr>
          <w:p w14:paraId="61D1C759">
            <w:pPr>
              <w:pStyle w:val="51"/>
              <w:rPr>
                <w:rFonts w:hint="default"/>
              </w:rPr>
            </w:pPr>
            <w:r>
              <w:t>经济适用房、旧区改造拆迁安置项目、普通企业职工集资建房</w:t>
            </w:r>
          </w:p>
        </w:tc>
        <w:tc>
          <w:tcPr>
            <w:tcW w:w="3001" w:type="dxa"/>
            <w:vAlign w:val="center"/>
          </w:tcPr>
          <w:p w14:paraId="7E108ECE">
            <w:pPr>
              <w:pStyle w:val="51"/>
              <w:rPr>
                <w:rFonts w:hint="default"/>
              </w:rPr>
            </w:pPr>
            <w:r>
              <w:t>车位/户</w:t>
            </w:r>
          </w:p>
        </w:tc>
        <w:tc>
          <w:tcPr>
            <w:tcW w:w="690" w:type="dxa"/>
            <w:vAlign w:val="center"/>
          </w:tcPr>
          <w:p w14:paraId="170EF963">
            <w:pPr>
              <w:pStyle w:val="51"/>
              <w:rPr>
                <w:rFonts w:hint="default"/>
              </w:rPr>
            </w:pPr>
            <w:r>
              <w:t xml:space="preserve">0.8 </w:t>
            </w:r>
          </w:p>
        </w:tc>
        <w:tc>
          <w:tcPr>
            <w:tcW w:w="690" w:type="dxa"/>
            <w:vAlign w:val="center"/>
          </w:tcPr>
          <w:p w14:paraId="3AF4EF1D">
            <w:pPr>
              <w:pStyle w:val="51"/>
              <w:rPr>
                <w:rFonts w:hint="default"/>
              </w:rPr>
            </w:pPr>
            <w:r>
              <w:t xml:space="preserve">0.8 </w:t>
            </w:r>
          </w:p>
        </w:tc>
      </w:tr>
      <w:tr w14:paraId="381B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41" w:type="dxa"/>
            <w:gridSpan w:val="2"/>
            <w:vMerge w:val="restart"/>
            <w:vAlign w:val="center"/>
          </w:tcPr>
          <w:p w14:paraId="69BF4103">
            <w:pPr>
              <w:pStyle w:val="51"/>
              <w:rPr>
                <w:rFonts w:hint="default"/>
              </w:rPr>
            </w:pPr>
            <w:r>
              <w:t>行政、企事业办公及科研</w:t>
            </w:r>
          </w:p>
        </w:tc>
        <w:tc>
          <w:tcPr>
            <w:tcW w:w="3001" w:type="dxa"/>
            <w:vMerge w:val="restart"/>
            <w:vAlign w:val="center"/>
          </w:tcPr>
          <w:p w14:paraId="53DE133C">
            <w:pPr>
              <w:pStyle w:val="51"/>
              <w:rPr>
                <w:rFonts w:hint="default"/>
              </w:rPr>
            </w:pPr>
            <w:r>
              <w:t>车位/100㎡建筑面积</w:t>
            </w:r>
          </w:p>
        </w:tc>
        <w:tc>
          <w:tcPr>
            <w:tcW w:w="690" w:type="dxa"/>
            <w:vMerge w:val="restart"/>
            <w:vAlign w:val="center"/>
          </w:tcPr>
          <w:p w14:paraId="44FDE2D5">
            <w:pPr>
              <w:pStyle w:val="51"/>
              <w:rPr>
                <w:rFonts w:hint="default"/>
              </w:rPr>
            </w:pPr>
            <w:r>
              <w:t>1</w:t>
            </w:r>
          </w:p>
        </w:tc>
        <w:tc>
          <w:tcPr>
            <w:tcW w:w="690" w:type="dxa"/>
            <w:vMerge w:val="restart"/>
            <w:vAlign w:val="center"/>
          </w:tcPr>
          <w:p w14:paraId="7E0FF7C2">
            <w:pPr>
              <w:pStyle w:val="51"/>
              <w:rPr>
                <w:rFonts w:hint="default"/>
              </w:rPr>
            </w:pPr>
            <w:r>
              <w:t xml:space="preserve">1.2 </w:t>
            </w:r>
          </w:p>
        </w:tc>
      </w:tr>
      <w:tr w14:paraId="4D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41" w:type="dxa"/>
            <w:gridSpan w:val="2"/>
            <w:vMerge w:val="continue"/>
            <w:vAlign w:val="center"/>
          </w:tcPr>
          <w:p w14:paraId="3F1865E5">
            <w:pPr>
              <w:pStyle w:val="51"/>
              <w:rPr>
                <w:rFonts w:hint="default"/>
              </w:rPr>
            </w:pPr>
          </w:p>
        </w:tc>
        <w:tc>
          <w:tcPr>
            <w:tcW w:w="3001" w:type="dxa"/>
            <w:vMerge w:val="continue"/>
            <w:vAlign w:val="center"/>
          </w:tcPr>
          <w:p w14:paraId="735AC404">
            <w:pPr>
              <w:pStyle w:val="51"/>
              <w:rPr>
                <w:rFonts w:hint="default"/>
              </w:rPr>
            </w:pPr>
          </w:p>
        </w:tc>
        <w:tc>
          <w:tcPr>
            <w:tcW w:w="690" w:type="dxa"/>
            <w:vMerge w:val="continue"/>
            <w:vAlign w:val="center"/>
          </w:tcPr>
          <w:p w14:paraId="3A52772C">
            <w:pPr>
              <w:pStyle w:val="51"/>
              <w:rPr>
                <w:rFonts w:hint="default"/>
              </w:rPr>
            </w:pPr>
          </w:p>
        </w:tc>
        <w:tc>
          <w:tcPr>
            <w:tcW w:w="690" w:type="dxa"/>
            <w:vMerge w:val="continue"/>
            <w:vAlign w:val="center"/>
          </w:tcPr>
          <w:p w14:paraId="38D6E902">
            <w:pPr>
              <w:pStyle w:val="51"/>
              <w:rPr>
                <w:rFonts w:hint="default"/>
              </w:rPr>
            </w:pPr>
          </w:p>
        </w:tc>
      </w:tr>
      <w:tr w14:paraId="00F1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65B0B33C">
            <w:pPr>
              <w:pStyle w:val="51"/>
              <w:rPr>
                <w:rFonts w:hint="default"/>
              </w:rPr>
            </w:pPr>
            <w:r>
              <w:t>普通商业</w:t>
            </w:r>
          </w:p>
          <w:p w14:paraId="3874E91D">
            <w:pPr>
              <w:pStyle w:val="51"/>
              <w:rPr>
                <w:rFonts w:hint="default"/>
              </w:rPr>
            </w:pPr>
            <w:r>
              <w:t>（含居住区配套商业、超市等）</w:t>
            </w:r>
          </w:p>
        </w:tc>
        <w:tc>
          <w:tcPr>
            <w:tcW w:w="3001" w:type="dxa"/>
            <w:vAlign w:val="center"/>
          </w:tcPr>
          <w:p w14:paraId="7D03ABED">
            <w:pPr>
              <w:pStyle w:val="51"/>
              <w:rPr>
                <w:rFonts w:hint="default"/>
              </w:rPr>
            </w:pPr>
            <w:r>
              <w:t>车位/100㎡建筑面积</w:t>
            </w:r>
          </w:p>
        </w:tc>
        <w:tc>
          <w:tcPr>
            <w:tcW w:w="690" w:type="dxa"/>
            <w:vAlign w:val="center"/>
          </w:tcPr>
          <w:p w14:paraId="70E8C7B0">
            <w:pPr>
              <w:pStyle w:val="51"/>
              <w:rPr>
                <w:rFonts w:hint="default"/>
              </w:rPr>
            </w:pPr>
            <w:r>
              <w:t xml:space="preserve">1 </w:t>
            </w:r>
          </w:p>
        </w:tc>
        <w:tc>
          <w:tcPr>
            <w:tcW w:w="690" w:type="dxa"/>
            <w:vAlign w:val="center"/>
          </w:tcPr>
          <w:p w14:paraId="514FCEC0">
            <w:pPr>
              <w:pStyle w:val="51"/>
              <w:rPr>
                <w:rFonts w:hint="default"/>
              </w:rPr>
            </w:pPr>
            <w:r>
              <w:t>1.2</w:t>
            </w:r>
          </w:p>
        </w:tc>
      </w:tr>
      <w:tr w14:paraId="1566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216129F2">
            <w:pPr>
              <w:pStyle w:val="51"/>
              <w:rPr>
                <w:rFonts w:hint="default"/>
              </w:rPr>
            </w:pPr>
            <w:r>
              <w:t>农贸市场</w:t>
            </w:r>
          </w:p>
        </w:tc>
        <w:tc>
          <w:tcPr>
            <w:tcW w:w="3001" w:type="dxa"/>
            <w:vAlign w:val="center"/>
          </w:tcPr>
          <w:p w14:paraId="695B1C37">
            <w:pPr>
              <w:pStyle w:val="51"/>
              <w:rPr>
                <w:rFonts w:hint="default"/>
              </w:rPr>
            </w:pPr>
            <w:r>
              <w:t>车位/100㎡建筑面积</w:t>
            </w:r>
          </w:p>
        </w:tc>
        <w:tc>
          <w:tcPr>
            <w:tcW w:w="690" w:type="dxa"/>
            <w:vAlign w:val="center"/>
          </w:tcPr>
          <w:p w14:paraId="086FB961">
            <w:pPr>
              <w:pStyle w:val="51"/>
              <w:rPr>
                <w:rFonts w:hint="default"/>
              </w:rPr>
            </w:pPr>
            <w:r>
              <w:t>0.8</w:t>
            </w:r>
          </w:p>
        </w:tc>
        <w:tc>
          <w:tcPr>
            <w:tcW w:w="690" w:type="dxa"/>
            <w:vAlign w:val="center"/>
          </w:tcPr>
          <w:p w14:paraId="5700C868">
            <w:pPr>
              <w:pStyle w:val="51"/>
              <w:rPr>
                <w:rFonts w:hint="default"/>
              </w:rPr>
            </w:pPr>
            <w:r>
              <w:t xml:space="preserve">1 </w:t>
            </w:r>
          </w:p>
        </w:tc>
      </w:tr>
      <w:tr w14:paraId="0E5F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7B620207">
            <w:pPr>
              <w:pStyle w:val="51"/>
              <w:rPr>
                <w:rFonts w:hint="default"/>
              </w:rPr>
            </w:pPr>
            <w:r>
              <w:t>旅馆业用地</w:t>
            </w:r>
          </w:p>
        </w:tc>
        <w:tc>
          <w:tcPr>
            <w:tcW w:w="3001" w:type="dxa"/>
            <w:vAlign w:val="center"/>
          </w:tcPr>
          <w:p w14:paraId="7240DAE9">
            <w:pPr>
              <w:pStyle w:val="51"/>
              <w:rPr>
                <w:rFonts w:hint="default"/>
              </w:rPr>
            </w:pPr>
            <w:r>
              <w:t>车位/客房</w:t>
            </w:r>
          </w:p>
        </w:tc>
        <w:tc>
          <w:tcPr>
            <w:tcW w:w="690" w:type="dxa"/>
            <w:vAlign w:val="center"/>
          </w:tcPr>
          <w:p w14:paraId="2A5141A9">
            <w:pPr>
              <w:pStyle w:val="51"/>
              <w:rPr>
                <w:rFonts w:hint="default"/>
              </w:rPr>
            </w:pPr>
            <w:r>
              <w:t xml:space="preserve">0.5 </w:t>
            </w:r>
          </w:p>
        </w:tc>
        <w:tc>
          <w:tcPr>
            <w:tcW w:w="690" w:type="dxa"/>
            <w:vAlign w:val="center"/>
          </w:tcPr>
          <w:p w14:paraId="61825857">
            <w:pPr>
              <w:pStyle w:val="51"/>
              <w:rPr>
                <w:rFonts w:hint="default"/>
              </w:rPr>
            </w:pPr>
            <w:r>
              <w:t xml:space="preserve">0.6 </w:t>
            </w:r>
          </w:p>
        </w:tc>
      </w:tr>
      <w:tr w14:paraId="7E91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14:paraId="7E3B029D">
            <w:pPr>
              <w:pStyle w:val="51"/>
              <w:rPr>
                <w:rFonts w:hint="default"/>
              </w:rPr>
            </w:pPr>
            <w:r>
              <w:t>医院</w:t>
            </w:r>
          </w:p>
        </w:tc>
        <w:tc>
          <w:tcPr>
            <w:tcW w:w="3061" w:type="dxa"/>
            <w:vAlign w:val="center"/>
          </w:tcPr>
          <w:p w14:paraId="2FFF356E">
            <w:pPr>
              <w:pStyle w:val="51"/>
              <w:rPr>
                <w:rFonts w:hint="default"/>
              </w:rPr>
            </w:pPr>
            <w:r>
              <w:t>社区卫生服务中心</w:t>
            </w:r>
          </w:p>
        </w:tc>
        <w:tc>
          <w:tcPr>
            <w:tcW w:w="3001" w:type="dxa"/>
            <w:vAlign w:val="center"/>
          </w:tcPr>
          <w:p w14:paraId="49813CE7">
            <w:pPr>
              <w:pStyle w:val="51"/>
              <w:rPr>
                <w:rFonts w:hint="default"/>
              </w:rPr>
            </w:pPr>
            <w:r>
              <w:t>车位/100㎡建筑面积</w:t>
            </w:r>
          </w:p>
        </w:tc>
        <w:tc>
          <w:tcPr>
            <w:tcW w:w="690" w:type="dxa"/>
            <w:vAlign w:val="center"/>
          </w:tcPr>
          <w:p w14:paraId="4BB95465">
            <w:pPr>
              <w:pStyle w:val="51"/>
              <w:rPr>
                <w:rFonts w:hint="default"/>
              </w:rPr>
            </w:pPr>
            <w:r>
              <w:t xml:space="preserve">0.5 </w:t>
            </w:r>
          </w:p>
        </w:tc>
        <w:tc>
          <w:tcPr>
            <w:tcW w:w="690" w:type="dxa"/>
            <w:vAlign w:val="center"/>
          </w:tcPr>
          <w:p w14:paraId="75330120">
            <w:pPr>
              <w:pStyle w:val="51"/>
              <w:rPr>
                <w:rFonts w:hint="default"/>
              </w:rPr>
            </w:pPr>
            <w:r>
              <w:t xml:space="preserve">0.5 </w:t>
            </w:r>
          </w:p>
        </w:tc>
      </w:tr>
      <w:tr w14:paraId="644F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7A68F561">
            <w:pPr>
              <w:pStyle w:val="51"/>
              <w:rPr>
                <w:rFonts w:hint="default"/>
              </w:rPr>
            </w:pPr>
          </w:p>
        </w:tc>
        <w:tc>
          <w:tcPr>
            <w:tcW w:w="3061" w:type="dxa"/>
            <w:vAlign w:val="center"/>
          </w:tcPr>
          <w:p w14:paraId="5B94763F">
            <w:pPr>
              <w:pStyle w:val="51"/>
              <w:rPr>
                <w:rFonts w:hint="default"/>
              </w:rPr>
            </w:pPr>
            <w:r>
              <w:t>综合医院</w:t>
            </w:r>
          </w:p>
        </w:tc>
        <w:tc>
          <w:tcPr>
            <w:tcW w:w="3001" w:type="dxa"/>
            <w:vAlign w:val="center"/>
          </w:tcPr>
          <w:p w14:paraId="6809DA10">
            <w:pPr>
              <w:pStyle w:val="51"/>
              <w:rPr>
                <w:rFonts w:hint="default"/>
              </w:rPr>
            </w:pPr>
            <w:r>
              <w:t>车位/100㎡建筑面积</w:t>
            </w:r>
          </w:p>
        </w:tc>
        <w:tc>
          <w:tcPr>
            <w:tcW w:w="690" w:type="dxa"/>
            <w:vAlign w:val="center"/>
          </w:tcPr>
          <w:p w14:paraId="6397301A">
            <w:pPr>
              <w:pStyle w:val="51"/>
              <w:rPr>
                <w:rFonts w:hint="default"/>
              </w:rPr>
            </w:pPr>
            <w:r>
              <w:t>0.8</w:t>
            </w:r>
          </w:p>
        </w:tc>
        <w:tc>
          <w:tcPr>
            <w:tcW w:w="690" w:type="dxa"/>
            <w:vAlign w:val="center"/>
          </w:tcPr>
          <w:p w14:paraId="3FE126DA">
            <w:pPr>
              <w:pStyle w:val="51"/>
              <w:rPr>
                <w:rFonts w:hint="default"/>
              </w:rPr>
            </w:pPr>
            <w:r>
              <w:t>1</w:t>
            </w:r>
          </w:p>
        </w:tc>
      </w:tr>
      <w:tr w14:paraId="7B2D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67B9E545">
            <w:pPr>
              <w:pStyle w:val="51"/>
              <w:rPr>
                <w:rFonts w:hint="default"/>
              </w:rPr>
            </w:pPr>
          </w:p>
        </w:tc>
        <w:tc>
          <w:tcPr>
            <w:tcW w:w="3061" w:type="dxa"/>
            <w:vAlign w:val="center"/>
          </w:tcPr>
          <w:p w14:paraId="40BCCA73">
            <w:pPr>
              <w:pStyle w:val="51"/>
              <w:rPr>
                <w:rFonts w:hint="default"/>
              </w:rPr>
            </w:pPr>
            <w:r>
              <w:t>养老设施、疗养院</w:t>
            </w:r>
          </w:p>
        </w:tc>
        <w:tc>
          <w:tcPr>
            <w:tcW w:w="3001" w:type="dxa"/>
            <w:vAlign w:val="center"/>
          </w:tcPr>
          <w:p w14:paraId="5D459120">
            <w:pPr>
              <w:pStyle w:val="51"/>
              <w:rPr>
                <w:rFonts w:hint="default"/>
              </w:rPr>
            </w:pPr>
            <w:r>
              <w:t>车位/100㎡建筑面积</w:t>
            </w:r>
          </w:p>
        </w:tc>
        <w:tc>
          <w:tcPr>
            <w:tcW w:w="690" w:type="dxa"/>
            <w:vAlign w:val="center"/>
          </w:tcPr>
          <w:p w14:paraId="19F4A63E">
            <w:pPr>
              <w:pStyle w:val="51"/>
              <w:rPr>
                <w:rFonts w:hint="default"/>
              </w:rPr>
            </w:pPr>
            <w:r>
              <w:t>0.3</w:t>
            </w:r>
          </w:p>
        </w:tc>
        <w:tc>
          <w:tcPr>
            <w:tcW w:w="690" w:type="dxa"/>
            <w:vAlign w:val="center"/>
          </w:tcPr>
          <w:p w14:paraId="1DD2EA87">
            <w:pPr>
              <w:pStyle w:val="51"/>
              <w:rPr>
                <w:rFonts w:hint="default"/>
              </w:rPr>
            </w:pPr>
            <w:r>
              <w:t>0.4</w:t>
            </w:r>
          </w:p>
        </w:tc>
      </w:tr>
      <w:tr w14:paraId="4861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1D7AB375">
            <w:pPr>
              <w:pStyle w:val="51"/>
              <w:rPr>
                <w:rFonts w:hint="default"/>
              </w:rPr>
            </w:pPr>
            <w:r>
              <w:t>影剧院</w:t>
            </w:r>
          </w:p>
        </w:tc>
        <w:tc>
          <w:tcPr>
            <w:tcW w:w="3001" w:type="dxa"/>
            <w:vAlign w:val="center"/>
          </w:tcPr>
          <w:p w14:paraId="456B6E0F">
            <w:pPr>
              <w:pStyle w:val="51"/>
              <w:rPr>
                <w:rFonts w:hint="default"/>
              </w:rPr>
            </w:pPr>
            <w:r>
              <w:t>车位/100座位</w:t>
            </w:r>
          </w:p>
        </w:tc>
        <w:tc>
          <w:tcPr>
            <w:tcW w:w="690" w:type="dxa"/>
            <w:vAlign w:val="center"/>
          </w:tcPr>
          <w:p w14:paraId="1291C851">
            <w:pPr>
              <w:pStyle w:val="51"/>
              <w:rPr>
                <w:rFonts w:hint="default"/>
              </w:rPr>
            </w:pPr>
            <w:r>
              <w:t xml:space="preserve">5 </w:t>
            </w:r>
          </w:p>
        </w:tc>
        <w:tc>
          <w:tcPr>
            <w:tcW w:w="690" w:type="dxa"/>
            <w:vAlign w:val="center"/>
          </w:tcPr>
          <w:p w14:paraId="4E1F9FC3">
            <w:pPr>
              <w:pStyle w:val="51"/>
              <w:rPr>
                <w:rFonts w:hint="default"/>
              </w:rPr>
            </w:pPr>
            <w:r>
              <w:t xml:space="preserve">6 </w:t>
            </w:r>
          </w:p>
        </w:tc>
      </w:tr>
      <w:tr w14:paraId="55EB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4BB8D8E1">
            <w:pPr>
              <w:pStyle w:val="51"/>
              <w:rPr>
                <w:rFonts w:hint="default"/>
              </w:rPr>
            </w:pPr>
            <w:r>
              <w:t>博物馆、图书馆、档案馆、设备机房等</w:t>
            </w:r>
          </w:p>
        </w:tc>
        <w:tc>
          <w:tcPr>
            <w:tcW w:w="3001" w:type="dxa"/>
            <w:vAlign w:val="center"/>
          </w:tcPr>
          <w:p w14:paraId="65D8BBFE">
            <w:pPr>
              <w:pStyle w:val="51"/>
              <w:rPr>
                <w:rFonts w:hint="default"/>
              </w:rPr>
            </w:pPr>
            <w:r>
              <w:t>车位/100㎡建筑面积</w:t>
            </w:r>
          </w:p>
        </w:tc>
        <w:tc>
          <w:tcPr>
            <w:tcW w:w="690" w:type="dxa"/>
            <w:vAlign w:val="center"/>
          </w:tcPr>
          <w:p w14:paraId="11D080C5">
            <w:pPr>
              <w:pStyle w:val="51"/>
              <w:rPr>
                <w:rFonts w:hint="default"/>
              </w:rPr>
            </w:pPr>
            <w:r>
              <w:t xml:space="preserve">0.5 </w:t>
            </w:r>
          </w:p>
        </w:tc>
        <w:tc>
          <w:tcPr>
            <w:tcW w:w="690" w:type="dxa"/>
            <w:vAlign w:val="center"/>
          </w:tcPr>
          <w:p w14:paraId="6E9975EC">
            <w:pPr>
              <w:pStyle w:val="51"/>
              <w:rPr>
                <w:rFonts w:hint="default"/>
              </w:rPr>
            </w:pPr>
            <w:r>
              <w:t xml:space="preserve">0.6 </w:t>
            </w:r>
          </w:p>
        </w:tc>
      </w:tr>
      <w:tr w14:paraId="228E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2E3EEBEC">
            <w:pPr>
              <w:pStyle w:val="51"/>
              <w:rPr>
                <w:rFonts w:hint="default"/>
              </w:rPr>
            </w:pPr>
            <w:r>
              <w:t>展览馆、会议中心</w:t>
            </w:r>
          </w:p>
        </w:tc>
        <w:tc>
          <w:tcPr>
            <w:tcW w:w="3001" w:type="dxa"/>
            <w:vAlign w:val="center"/>
          </w:tcPr>
          <w:p w14:paraId="58A84664">
            <w:pPr>
              <w:pStyle w:val="51"/>
              <w:rPr>
                <w:rFonts w:hint="default"/>
              </w:rPr>
            </w:pPr>
            <w:r>
              <w:t>车位/100㎡建筑面积</w:t>
            </w:r>
          </w:p>
        </w:tc>
        <w:tc>
          <w:tcPr>
            <w:tcW w:w="690" w:type="dxa"/>
            <w:vAlign w:val="center"/>
          </w:tcPr>
          <w:p w14:paraId="6A728F64">
            <w:pPr>
              <w:pStyle w:val="51"/>
              <w:rPr>
                <w:rFonts w:hint="default"/>
              </w:rPr>
            </w:pPr>
            <w:r>
              <w:t xml:space="preserve">0.6 </w:t>
            </w:r>
          </w:p>
        </w:tc>
        <w:tc>
          <w:tcPr>
            <w:tcW w:w="690" w:type="dxa"/>
            <w:vAlign w:val="center"/>
          </w:tcPr>
          <w:p w14:paraId="7E4A952E">
            <w:pPr>
              <w:pStyle w:val="51"/>
              <w:rPr>
                <w:rFonts w:hint="default"/>
              </w:rPr>
            </w:pPr>
            <w:r>
              <w:t xml:space="preserve">0.8 </w:t>
            </w:r>
          </w:p>
        </w:tc>
      </w:tr>
      <w:tr w14:paraId="0232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14:paraId="3DEC3DDE">
            <w:pPr>
              <w:pStyle w:val="51"/>
              <w:rPr>
                <w:rFonts w:hint="default"/>
              </w:rPr>
            </w:pPr>
            <w:r>
              <w:t>体育设施</w:t>
            </w:r>
          </w:p>
        </w:tc>
        <w:tc>
          <w:tcPr>
            <w:tcW w:w="3061" w:type="dxa"/>
            <w:vAlign w:val="center"/>
          </w:tcPr>
          <w:p w14:paraId="00D30513">
            <w:pPr>
              <w:pStyle w:val="51"/>
              <w:rPr>
                <w:rFonts w:hint="default"/>
              </w:rPr>
            </w:pPr>
            <w:r>
              <w:t>一类（体育场座位数≥15000，体育馆座位数≥4000）</w:t>
            </w:r>
          </w:p>
        </w:tc>
        <w:tc>
          <w:tcPr>
            <w:tcW w:w="3001" w:type="dxa"/>
            <w:vAlign w:val="center"/>
          </w:tcPr>
          <w:p w14:paraId="0E5FD9AB">
            <w:pPr>
              <w:pStyle w:val="51"/>
              <w:rPr>
                <w:rFonts w:hint="default"/>
              </w:rPr>
            </w:pPr>
            <w:r>
              <w:t>车位/百座</w:t>
            </w:r>
          </w:p>
        </w:tc>
        <w:tc>
          <w:tcPr>
            <w:tcW w:w="690" w:type="dxa"/>
            <w:vAlign w:val="center"/>
          </w:tcPr>
          <w:p w14:paraId="592F25CB">
            <w:pPr>
              <w:pStyle w:val="51"/>
              <w:rPr>
                <w:rFonts w:hint="default"/>
              </w:rPr>
            </w:pPr>
            <w:r>
              <w:t xml:space="preserve">4 </w:t>
            </w:r>
          </w:p>
        </w:tc>
        <w:tc>
          <w:tcPr>
            <w:tcW w:w="690" w:type="dxa"/>
            <w:vAlign w:val="center"/>
          </w:tcPr>
          <w:p w14:paraId="4601880D">
            <w:pPr>
              <w:pStyle w:val="51"/>
              <w:rPr>
                <w:rFonts w:hint="default"/>
              </w:rPr>
            </w:pPr>
            <w:r>
              <w:t xml:space="preserve">5 </w:t>
            </w:r>
          </w:p>
        </w:tc>
      </w:tr>
      <w:tr w14:paraId="1006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4729B3A2">
            <w:pPr>
              <w:pStyle w:val="51"/>
              <w:rPr>
                <w:rFonts w:hint="default"/>
              </w:rPr>
            </w:pPr>
          </w:p>
        </w:tc>
        <w:tc>
          <w:tcPr>
            <w:tcW w:w="3061" w:type="dxa"/>
            <w:vAlign w:val="center"/>
          </w:tcPr>
          <w:p w14:paraId="268F1FD3">
            <w:pPr>
              <w:pStyle w:val="51"/>
              <w:rPr>
                <w:rFonts w:hint="default"/>
              </w:rPr>
            </w:pPr>
            <w:r>
              <w:t>二类（体育场座位数≥15000）</w:t>
            </w:r>
          </w:p>
        </w:tc>
        <w:tc>
          <w:tcPr>
            <w:tcW w:w="3001" w:type="dxa"/>
            <w:vAlign w:val="center"/>
          </w:tcPr>
          <w:p w14:paraId="2C370962">
            <w:pPr>
              <w:pStyle w:val="51"/>
              <w:rPr>
                <w:rFonts w:hint="default"/>
              </w:rPr>
            </w:pPr>
            <w:r>
              <w:t>车位/百座</w:t>
            </w:r>
          </w:p>
        </w:tc>
        <w:tc>
          <w:tcPr>
            <w:tcW w:w="690" w:type="dxa"/>
            <w:vAlign w:val="center"/>
          </w:tcPr>
          <w:p w14:paraId="2FF1E515">
            <w:pPr>
              <w:pStyle w:val="51"/>
              <w:rPr>
                <w:rFonts w:hint="default"/>
              </w:rPr>
            </w:pPr>
            <w:r>
              <w:t xml:space="preserve">3 </w:t>
            </w:r>
          </w:p>
        </w:tc>
        <w:tc>
          <w:tcPr>
            <w:tcW w:w="690" w:type="dxa"/>
            <w:vAlign w:val="center"/>
          </w:tcPr>
          <w:p w14:paraId="29D696EB">
            <w:pPr>
              <w:pStyle w:val="51"/>
              <w:rPr>
                <w:rFonts w:hint="default"/>
              </w:rPr>
            </w:pPr>
            <w:r>
              <w:t xml:space="preserve">4 </w:t>
            </w:r>
          </w:p>
        </w:tc>
      </w:tr>
      <w:tr w14:paraId="624C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4E545E97">
            <w:pPr>
              <w:pStyle w:val="51"/>
              <w:rPr>
                <w:rFonts w:hint="default"/>
              </w:rPr>
            </w:pPr>
          </w:p>
        </w:tc>
        <w:tc>
          <w:tcPr>
            <w:tcW w:w="3061" w:type="dxa"/>
            <w:vAlign w:val="center"/>
          </w:tcPr>
          <w:p w14:paraId="63DD7D35">
            <w:pPr>
              <w:pStyle w:val="51"/>
              <w:rPr>
                <w:rFonts w:hint="default"/>
              </w:rPr>
            </w:pPr>
            <w:r>
              <w:t>三类（娱乐性体育设施）</w:t>
            </w:r>
          </w:p>
        </w:tc>
        <w:tc>
          <w:tcPr>
            <w:tcW w:w="3001" w:type="dxa"/>
            <w:vAlign w:val="center"/>
          </w:tcPr>
          <w:p w14:paraId="02E5F490">
            <w:pPr>
              <w:pStyle w:val="51"/>
              <w:rPr>
                <w:rFonts w:hint="default"/>
              </w:rPr>
            </w:pPr>
            <w:r>
              <w:t>车位/100㎡建筑面积</w:t>
            </w:r>
          </w:p>
        </w:tc>
        <w:tc>
          <w:tcPr>
            <w:tcW w:w="690" w:type="dxa"/>
            <w:vAlign w:val="center"/>
          </w:tcPr>
          <w:p w14:paraId="5AAB04D9">
            <w:pPr>
              <w:pStyle w:val="51"/>
              <w:rPr>
                <w:rFonts w:hint="default"/>
              </w:rPr>
            </w:pPr>
            <w:r>
              <w:t xml:space="preserve">2 </w:t>
            </w:r>
          </w:p>
        </w:tc>
        <w:tc>
          <w:tcPr>
            <w:tcW w:w="690" w:type="dxa"/>
            <w:vAlign w:val="center"/>
          </w:tcPr>
          <w:p w14:paraId="56F4D065">
            <w:pPr>
              <w:pStyle w:val="51"/>
              <w:rPr>
                <w:rFonts w:hint="default"/>
              </w:rPr>
            </w:pPr>
            <w:r>
              <w:t xml:space="preserve">2 </w:t>
            </w:r>
          </w:p>
        </w:tc>
      </w:tr>
      <w:tr w14:paraId="245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restart"/>
            <w:vAlign w:val="center"/>
          </w:tcPr>
          <w:p w14:paraId="5E5F1882">
            <w:pPr>
              <w:pStyle w:val="51"/>
              <w:rPr>
                <w:rFonts w:hint="default"/>
              </w:rPr>
            </w:pPr>
            <w:r>
              <w:t>学校</w:t>
            </w:r>
          </w:p>
        </w:tc>
        <w:tc>
          <w:tcPr>
            <w:tcW w:w="3061" w:type="dxa"/>
            <w:vMerge w:val="restart"/>
            <w:vAlign w:val="center"/>
          </w:tcPr>
          <w:p w14:paraId="45900280">
            <w:pPr>
              <w:pStyle w:val="51"/>
              <w:rPr>
                <w:rFonts w:hint="default"/>
              </w:rPr>
            </w:pPr>
            <w:r>
              <w:t>幼儿园</w:t>
            </w:r>
          </w:p>
        </w:tc>
        <w:tc>
          <w:tcPr>
            <w:tcW w:w="3001" w:type="dxa"/>
            <w:vMerge w:val="restart"/>
            <w:vAlign w:val="center"/>
          </w:tcPr>
          <w:p w14:paraId="04FAC26C">
            <w:pPr>
              <w:pStyle w:val="51"/>
              <w:rPr>
                <w:rFonts w:hint="default"/>
              </w:rPr>
            </w:pPr>
            <w:r>
              <w:t>车位/100师生</w:t>
            </w:r>
          </w:p>
        </w:tc>
        <w:tc>
          <w:tcPr>
            <w:tcW w:w="690" w:type="dxa"/>
            <w:vMerge w:val="restart"/>
            <w:vAlign w:val="center"/>
          </w:tcPr>
          <w:p w14:paraId="67F7BA41">
            <w:pPr>
              <w:pStyle w:val="51"/>
              <w:rPr>
                <w:rFonts w:hint="default"/>
              </w:rPr>
            </w:pPr>
            <w:r>
              <w:t>1</w:t>
            </w:r>
          </w:p>
        </w:tc>
        <w:tc>
          <w:tcPr>
            <w:tcW w:w="690" w:type="dxa"/>
            <w:vMerge w:val="restart"/>
            <w:vAlign w:val="center"/>
          </w:tcPr>
          <w:p w14:paraId="49E4107A">
            <w:pPr>
              <w:pStyle w:val="51"/>
              <w:rPr>
                <w:rFonts w:hint="default"/>
              </w:rPr>
            </w:pPr>
            <w:r>
              <w:t>1.5</w:t>
            </w:r>
          </w:p>
        </w:tc>
      </w:tr>
      <w:tr w14:paraId="3014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4D323FB7">
            <w:pPr>
              <w:pStyle w:val="51"/>
              <w:rPr>
                <w:rFonts w:hint="default"/>
              </w:rPr>
            </w:pPr>
          </w:p>
        </w:tc>
        <w:tc>
          <w:tcPr>
            <w:tcW w:w="3061" w:type="dxa"/>
            <w:vMerge w:val="continue"/>
            <w:vAlign w:val="center"/>
          </w:tcPr>
          <w:p w14:paraId="06297EC0">
            <w:pPr>
              <w:pStyle w:val="51"/>
              <w:rPr>
                <w:rFonts w:hint="default"/>
              </w:rPr>
            </w:pPr>
          </w:p>
        </w:tc>
        <w:tc>
          <w:tcPr>
            <w:tcW w:w="3001" w:type="dxa"/>
            <w:vMerge w:val="continue"/>
            <w:vAlign w:val="center"/>
          </w:tcPr>
          <w:p w14:paraId="37E4F9F1">
            <w:pPr>
              <w:pStyle w:val="51"/>
              <w:rPr>
                <w:rFonts w:hint="default"/>
              </w:rPr>
            </w:pPr>
          </w:p>
        </w:tc>
        <w:tc>
          <w:tcPr>
            <w:tcW w:w="690" w:type="dxa"/>
            <w:vMerge w:val="continue"/>
            <w:vAlign w:val="center"/>
          </w:tcPr>
          <w:p w14:paraId="0D0CEC7E">
            <w:pPr>
              <w:pStyle w:val="51"/>
              <w:rPr>
                <w:rFonts w:hint="default"/>
              </w:rPr>
            </w:pPr>
          </w:p>
        </w:tc>
        <w:tc>
          <w:tcPr>
            <w:tcW w:w="690" w:type="dxa"/>
            <w:vMerge w:val="continue"/>
            <w:vAlign w:val="center"/>
          </w:tcPr>
          <w:p w14:paraId="74CEDE96">
            <w:pPr>
              <w:pStyle w:val="51"/>
              <w:rPr>
                <w:rFonts w:hint="default"/>
              </w:rPr>
            </w:pPr>
          </w:p>
        </w:tc>
      </w:tr>
      <w:tr w14:paraId="33DC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7D513FA5">
            <w:pPr>
              <w:pStyle w:val="51"/>
              <w:rPr>
                <w:rFonts w:hint="default"/>
              </w:rPr>
            </w:pPr>
          </w:p>
        </w:tc>
        <w:tc>
          <w:tcPr>
            <w:tcW w:w="3061" w:type="dxa"/>
            <w:vMerge w:val="continue"/>
            <w:vAlign w:val="center"/>
          </w:tcPr>
          <w:p w14:paraId="68F6FE67">
            <w:pPr>
              <w:pStyle w:val="51"/>
              <w:rPr>
                <w:rFonts w:hint="default"/>
              </w:rPr>
            </w:pPr>
          </w:p>
        </w:tc>
        <w:tc>
          <w:tcPr>
            <w:tcW w:w="3001" w:type="dxa"/>
            <w:vMerge w:val="continue"/>
            <w:vAlign w:val="center"/>
          </w:tcPr>
          <w:p w14:paraId="0DE6B599">
            <w:pPr>
              <w:pStyle w:val="51"/>
              <w:rPr>
                <w:rFonts w:hint="default"/>
              </w:rPr>
            </w:pPr>
          </w:p>
        </w:tc>
        <w:tc>
          <w:tcPr>
            <w:tcW w:w="690" w:type="dxa"/>
            <w:vMerge w:val="continue"/>
            <w:vAlign w:val="center"/>
          </w:tcPr>
          <w:p w14:paraId="4D8539EB">
            <w:pPr>
              <w:pStyle w:val="51"/>
              <w:rPr>
                <w:rFonts w:hint="default"/>
              </w:rPr>
            </w:pPr>
          </w:p>
        </w:tc>
        <w:tc>
          <w:tcPr>
            <w:tcW w:w="690" w:type="dxa"/>
            <w:vMerge w:val="continue"/>
            <w:vAlign w:val="center"/>
          </w:tcPr>
          <w:p w14:paraId="6CB43EEF">
            <w:pPr>
              <w:pStyle w:val="51"/>
              <w:rPr>
                <w:rFonts w:hint="default"/>
              </w:rPr>
            </w:pPr>
          </w:p>
        </w:tc>
      </w:tr>
      <w:tr w14:paraId="256C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26B45AD9">
            <w:pPr>
              <w:pStyle w:val="51"/>
              <w:rPr>
                <w:rFonts w:hint="default"/>
              </w:rPr>
            </w:pPr>
          </w:p>
        </w:tc>
        <w:tc>
          <w:tcPr>
            <w:tcW w:w="3061" w:type="dxa"/>
            <w:vMerge w:val="restart"/>
            <w:vAlign w:val="center"/>
          </w:tcPr>
          <w:p w14:paraId="005AF8D8">
            <w:pPr>
              <w:pStyle w:val="51"/>
              <w:rPr>
                <w:rFonts w:hint="default"/>
              </w:rPr>
            </w:pPr>
            <w:r>
              <w:t>小学</w:t>
            </w:r>
          </w:p>
        </w:tc>
        <w:tc>
          <w:tcPr>
            <w:tcW w:w="3001" w:type="dxa"/>
            <w:vMerge w:val="restart"/>
            <w:vAlign w:val="center"/>
          </w:tcPr>
          <w:p w14:paraId="068456D7">
            <w:pPr>
              <w:pStyle w:val="51"/>
              <w:rPr>
                <w:rFonts w:hint="default"/>
              </w:rPr>
            </w:pPr>
            <w:r>
              <w:t>车位/100师生</w:t>
            </w:r>
          </w:p>
        </w:tc>
        <w:tc>
          <w:tcPr>
            <w:tcW w:w="690" w:type="dxa"/>
            <w:vMerge w:val="restart"/>
            <w:vAlign w:val="center"/>
          </w:tcPr>
          <w:p w14:paraId="166AC414">
            <w:pPr>
              <w:pStyle w:val="51"/>
              <w:rPr>
                <w:rFonts w:hint="default"/>
              </w:rPr>
            </w:pPr>
            <w:r>
              <w:t xml:space="preserve">1 </w:t>
            </w:r>
          </w:p>
        </w:tc>
        <w:tc>
          <w:tcPr>
            <w:tcW w:w="690" w:type="dxa"/>
            <w:vMerge w:val="restart"/>
            <w:vAlign w:val="center"/>
          </w:tcPr>
          <w:p w14:paraId="0859C05B">
            <w:pPr>
              <w:pStyle w:val="51"/>
              <w:rPr>
                <w:rFonts w:hint="default"/>
              </w:rPr>
            </w:pPr>
            <w:r>
              <w:t>1.5</w:t>
            </w:r>
          </w:p>
        </w:tc>
      </w:tr>
      <w:tr w14:paraId="4730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093D1BBB">
            <w:pPr>
              <w:pStyle w:val="51"/>
              <w:rPr>
                <w:rFonts w:hint="default"/>
              </w:rPr>
            </w:pPr>
          </w:p>
        </w:tc>
        <w:tc>
          <w:tcPr>
            <w:tcW w:w="3061" w:type="dxa"/>
            <w:vMerge w:val="continue"/>
            <w:vAlign w:val="center"/>
          </w:tcPr>
          <w:p w14:paraId="6C1925AD">
            <w:pPr>
              <w:pStyle w:val="51"/>
              <w:rPr>
                <w:rFonts w:hint="default"/>
              </w:rPr>
            </w:pPr>
          </w:p>
        </w:tc>
        <w:tc>
          <w:tcPr>
            <w:tcW w:w="3001" w:type="dxa"/>
            <w:vMerge w:val="continue"/>
            <w:vAlign w:val="center"/>
          </w:tcPr>
          <w:p w14:paraId="466B8E88">
            <w:pPr>
              <w:pStyle w:val="51"/>
              <w:rPr>
                <w:rFonts w:hint="default"/>
              </w:rPr>
            </w:pPr>
          </w:p>
        </w:tc>
        <w:tc>
          <w:tcPr>
            <w:tcW w:w="690" w:type="dxa"/>
            <w:vMerge w:val="continue"/>
            <w:vAlign w:val="center"/>
          </w:tcPr>
          <w:p w14:paraId="41354D63">
            <w:pPr>
              <w:pStyle w:val="51"/>
              <w:rPr>
                <w:rFonts w:hint="default"/>
              </w:rPr>
            </w:pPr>
          </w:p>
        </w:tc>
        <w:tc>
          <w:tcPr>
            <w:tcW w:w="690" w:type="dxa"/>
            <w:vMerge w:val="continue"/>
            <w:vAlign w:val="center"/>
          </w:tcPr>
          <w:p w14:paraId="7A49F882">
            <w:pPr>
              <w:pStyle w:val="51"/>
              <w:rPr>
                <w:rFonts w:hint="default"/>
              </w:rPr>
            </w:pPr>
          </w:p>
        </w:tc>
      </w:tr>
      <w:tr w14:paraId="16B7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1FD9168D">
            <w:pPr>
              <w:pStyle w:val="51"/>
              <w:rPr>
                <w:rFonts w:hint="default"/>
              </w:rPr>
            </w:pPr>
          </w:p>
        </w:tc>
        <w:tc>
          <w:tcPr>
            <w:tcW w:w="3061" w:type="dxa"/>
            <w:vMerge w:val="restart"/>
            <w:vAlign w:val="center"/>
          </w:tcPr>
          <w:p w14:paraId="14B64EB3">
            <w:pPr>
              <w:pStyle w:val="51"/>
              <w:rPr>
                <w:rFonts w:hint="default"/>
              </w:rPr>
            </w:pPr>
            <w:r>
              <w:t>中学</w:t>
            </w:r>
          </w:p>
        </w:tc>
        <w:tc>
          <w:tcPr>
            <w:tcW w:w="3001" w:type="dxa"/>
            <w:vMerge w:val="restart"/>
            <w:vAlign w:val="center"/>
          </w:tcPr>
          <w:p w14:paraId="1EB42CBB">
            <w:pPr>
              <w:pStyle w:val="51"/>
              <w:rPr>
                <w:rFonts w:hint="default"/>
              </w:rPr>
            </w:pPr>
            <w:r>
              <w:t>车位/100师生</w:t>
            </w:r>
          </w:p>
        </w:tc>
        <w:tc>
          <w:tcPr>
            <w:tcW w:w="690" w:type="dxa"/>
            <w:vMerge w:val="restart"/>
            <w:vAlign w:val="center"/>
          </w:tcPr>
          <w:p w14:paraId="2279CE42">
            <w:pPr>
              <w:pStyle w:val="51"/>
              <w:rPr>
                <w:rFonts w:hint="default"/>
              </w:rPr>
            </w:pPr>
            <w:r>
              <w:t>3</w:t>
            </w:r>
          </w:p>
        </w:tc>
        <w:tc>
          <w:tcPr>
            <w:tcW w:w="690" w:type="dxa"/>
            <w:vMerge w:val="restart"/>
            <w:vAlign w:val="center"/>
          </w:tcPr>
          <w:p w14:paraId="0290902A">
            <w:pPr>
              <w:pStyle w:val="51"/>
              <w:rPr>
                <w:rFonts w:hint="default"/>
              </w:rPr>
            </w:pPr>
            <w:r>
              <w:t>4</w:t>
            </w:r>
          </w:p>
        </w:tc>
      </w:tr>
      <w:tr w14:paraId="49B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51CF4B80">
            <w:pPr>
              <w:pStyle w:val="51"/>
              <w:rPr>
                <w:rFonts w:hint="default"/>
              </w:rPr>
            </w:pPr>
          </w:p>
        </w:tc>
        <w:tc>
          <w:tcPr>
            <w:tcW w:w="3061" w:type="dxa"/>
            <w:vMerge w:val="continue"/>
            <w:vAlign w:val="center"/>
          </w:tcPr>
          <w:p w14:paraId="12DBEB61">
            <w:pPr>
              <w:pStyle w:val="51"/>
              <w:rPr>
                <w:rFonts w:hint="default"/>
              </w:rPr>
            </w:pPr>
          </w:p>
        </w:tc>
        <w:tc>
          <w:tcPr>
            <w:tcW w:w="3001" w:type="dxa"/>
            <w:vMerge w:val="continue"/>
            <w:vAlign w:val="center"/>
          </w:tcPr>
          <w:p w14:paraId="2BB85CB4">
            <w:pPr>
              <w:pStyle w:val="51"/>
              <w:rPr>
                <w:rFonts w:hint="default"/>
              </w:rPr>
            </w:pPr>
          </w:p>
        </w:tc>
        <w:tc>
          <w:tcPr>
            <w:tcW w:w="690" w:type="dxa"/>
            <w:vMerge w:val="continue"/>
            <w:vAlign w:val="center"/>
          </w:tcPr>
          <w:p w14:paraId="0DD12E64">
            <w:pPr>
              <w:pStyle w:val="51"/>
              <w:rPr>
                <w:rFonts w:hint="default"/>
              </w:rPr>
            </w:pPr>
          </w:p>
        </w:tc>
        <w:tc>
          <w:tcPr>
            <w:tcW w:w="690" w:type="dxa"/>
            <w:vMerge w:val="continue"/>
            <w:vAlign w:val="center"/>
          </w:tcPr>
          <w:p w14:paraId="49E1F150">
            <w:pPr>
              <w:pStyle w:val="51"/>
              <w:rPr>
                <w:rFonts w:hint="default"/>
              </w:rPr>
            </w:pPr>
          </w:p>
        </w:tc>
      </w:tr>
      <w:tr w14:paraId="1B1C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2D9B346B">
            <w:pPr>
              <w:pStyle w:val="51"/>
              <w:rPr>
                <w:rFonts w:hint="default"/>
              </w:rPr>
            </w:pPr>
          </w:p>
        </w:tc>
        <w:tc>
          <w:tcPr>
            <w:tcW w:w="3061" w:type="dxa"/>
            <w:vMerge w:val="restart"/>
            <w:vAlign w:val="center"/>
          </w:tcPr>
          <w:p w14:paraId="65ED898F">
            <w:pPr>
              <w:pStyle w:val="51"/>
              <w:rPr>
                <w:rFonts w:hint="default"/>
              </w:rPr>
            </w:pPr>
            <w:r>
              <w:t>大中专院校</w:t>
            </w:r>
          </w:p>
        </w:tc>
        <w:tc>
          <w:tcPr>
            <w:tcW w:w="3001" w:type="dxa"/>
            <w:vMerge w:val="restart"/>
            <w:vAlign w:val="center"/>
          </w:tcPr>
          <w:p w14:paraId="78826E8A">
            <w:pPr>
              <w:pStyle w:val="51"/>
              <w:rPr>
                <w:rFonts w:hint="default"/>
              </w:rPr>
            </w:pPr>
            <w:r>
              <w:t>停车位/100师生</w:t>
            </w:r>
          </w:p>
        </w:tc>
        <w:tc>
          <w:tcPr>
            <w:tcW w:w="690" w:type="dxa"/>
            <w:vMerge w:val="restart"/>
            <w:vAlign w:val="center"/>
          </w:tcPr>
          <w:p w14:paraId="56FDEB3C">
            <w:pPr>
              <w:pStyle w:val="51"/>
              <w:rPr>
                <w:rFonts w:hint="default"/>
              </w:rPr>
            </w:pPr>
            <w:r>
              <w:t xml:space="preserve">6 </w:t>
            </w:r>
          </w:p>
        </w:tc>
        <w:tc>
          <w:tcPr>
            <w:tcW w:w="690" w:type="dxa"/>
            <w:vMerge w:val="restart"/>
            <w:vAlign w:val="center"/>
          </w:tcPr>
          <w:p w14:paraId="0314E074">
            <w:pPr>
              <w:pStyle w:val="51"/>
              <w:rPr>
                <w:rFonts w:hint="default"/>
              </w:rPr>
            </w:pPr>
            <w:r>
              <w:t>7</w:t>
            </w:r>
          </w:p>
        </w:tc>
      </w:tr>
      <w:tr w14:paraId="631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14:paraId="1ABA8356">
            <w:pPr>
              <w:pStyle w:val="51"/>
              <w:rPr>
                <w:rFonts w:hint="default"/>
              </w:rPr>
            </w:pPr>
          </w:p>
        </w:tc>
        <w:tc>
          <w:tcPr>
            <w:tcW w:w="3061" w:type="dxa"/>
            <w:vMerge w:val="continue"/>
            <w:vAlign w:val="center"/>
          </w:tcPr>
          <w:p w14:paraId="6B0ED78A">
            <w:pPr>
              <w:pStyle w:val="51"/>
              <w:rPr>
                <w:rFonts w:hint="default"/>
              </w:rPr>
            </w:pPr>
          </w:p>
        </w:tc>
        <w:tc>
          <w:tcPr>
            <w:tcW w:w="3001" w:type="dxa"/>
            <w:vMerge w:val="continue"/>
            <w:vAlign w:val="center"/>
          </w:tcPr>
          <w:p w14:paraId="5D558D9F">
            <w:pPr>
              <w:pStyle w:val="51"/>
              <w:rPr>
                <w:rFonts w:hint="default"/>
              </w:rPr>
            </w:pPr>
          </w:p>
        </w:tc>
        <w:tc>
          <w:tcPr>
            <w:tcW w:w="690" w:type="dxa"/>
            <w:vMerge w:val="continue"/>
            <w:vAlign w:val="center"/>
          </w:tcPr>
          <w:p w14:paraId="4E7CBE57">
            <w:pPr>
              <w:pStyle w:val="51"/>
              <w:rPr>
                <w:rFonts w:hint="default"/>
              </w:rPr>
            </w:pPr>
          </w:p>
        </w:tc>
        <w:tc>
          <w:tcPr>
            <w:tcW w:w="690" w:type="dxa"/>
            <w:vMerge w:val="continue"/>
            <w:vAlign w:val="center"/>
          </w:tcPr>
          <w:p w14:paraId="60ED3969">
            <w:pPr>
              <w:pStyle w:val="51"/>
              <w:rPr>
                <w:rFonts w:hint="default"/>
              </w:rPr>
            </w:pPr>
          </w:p>
        </w:tc>
      </w:tr>
      <w:tr w14:paraId="0B28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14:paraId="6177AF3D">
            <w:pPr>
              <w:pStyle w:val="51"/>
              <w:rPr>
                <w:rFonts w:hint="default"/>
              </w:rPr>
            </w:pPr>
            <w:r>
              <w:t>游览场所</w:t>
            </w:r>
          </w:p>
        </w:tc>
        <w:tc>
          <w:tcPr>
            <w:tcW w:w="3061" w:type="dxa"/>
            <w:vAlign w:val="center"/>
          </w:tcPr>
          <w:p w14:paraId="4644307C">
            <w:pPr>
              <w:pStyle w:val="51"/>
              <w:rPr>
                <w:rFonts w:hint="default"/>
              </w:rPr>
            </w:pPr>
            <w:r>
              <w:t>主题公园</w:t>
            </w:r>
          </w:p>
        </w:tc>
        <w:tc>
          <w:tcPr>
            <w:tcW w:w="3001" w:type="dxa"/>
            <w:vAlign w:val="center"/>
          </w:tcPr>
          <w:p w14:paraId="6EA6127D">
            <w:pPr>
              <w:pStyle w:val="51"/>
              <w:rPr>
                <w:rFonts w:hint="default"/>
              </w:rPr>
            </w:pPr>
            <w:r>
              <w:t>车位/公顷占地面积</w:t>
            </w:r>
          </w:p>
        </w:tc>
        <w:tc>
          <w:tcPr>
            <w:tcW w:w="690" w:type="dxa"/>
            <w:vAlign w:val="center"/>
          </w:tcPr>
          <w:p w14:paraId="67428C72">
            <w:pPr>
              <w:pStyle w:val="51"/>
              <w:rPr>
                <w:rFonts w:hint="default"/>
              </w:rPr>
            </w:pPr>
            <w:r>
              <w:t>1.5</w:t>
            </w:r>
          </w:p>
        </w:tc>
        <w:tc>
          <w:tcPr>
            <w:tcW w:w="690" w:type="dxa"/>
            <w:vAlign w:val="center"/>
          </w:tcPr>
          <w:p w14:paraId="1CC3E0F0">
            <w:pPr>
              <w:pStyle w:val="51"/>
              <w:rPr>
                <w:rFonts w:hint="default"/>
              </w:rPr>
            </w:pPr>
            <w:r>
              <w:t xml:space="preserve">1.5 </w:t>
            </w:r>
          </w:p>
        </w:tc>
      </w:tr>
      <w:tr w14:paraId="7523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0B2335B1">
            <w:pPr>
              <w:pStyle w:val="51"/>
              <w:rPr>
                <w:rFonts w:hint="default"/>
              </w:rPr>
            </w:pPr>
          </w:p>
        </w:tc>
        <w:tc>
          <w:tcPr>
            <w:tcW w:w="3061" w:type="dxa"/>
            <w:vAlign w:val="center"/>
          </w:tcPr>
          <w:p w14:paraId="395FE2EE">
            <w:pPr>
              <w:pStyle w:val="51"/>
              <w:rPr>
                <w:rFonts w:hint="default"/>
              </w:rPr>
            </w:pPr>
            <w:r>
              <w:t>城市公园</w:t>
            </w:r>
          </w:p>
        </w:tc>
        <w:tc>
          <w:tcPr>
            <w:tcW w:w="3001" w:type="dxa"/>
            <w:vAlign w:val="center"/>
          </w:tcPr>
          <w:p w14:paraId="34634A9D">
            <w:pPr>
              <w:pStyle w:val="51"/>
              <w:rPr>
                <w:rFonts w:hint="default"/>
              </w:rPr>
            </w:pPr>
            <w:r>
              <w:t>车位/公顷占地面积</w:t>
            </w:r>
          </w:p>
        </w:tc>
        <w:tc>
          <w:tcPr>
            <w:tcW w:w="690" w:type="dxa"/>
            <w:vAlign w:val="center"/>
          </w:tcPr>
          <w:p w14:paraId="6D4E11B5">
            <w:pPr>
              <w:pStyle w:val="51"/>
              <w:rPr>
                <w:rFonts w:hint="default"/>
              </w:rPr>
            </w:pPr>
            <w:r>
              <w:t>0.7</w:t>
            </w:r>
          </w:p>
        </w:tc>
        <w:tc>
          <w:tcPr>
            <w:tcW w:w="690" w:type="dxa"/>
            <w:vAlign w:val="center"/>
          </w:tcPr>
          <w:p w14:paraId="1ECAB912">
            <w:pPr>
              <w:pStyle w:val="51"/>
              <w:rPr>
                <w:rFonts w:hint="default"/>
              </w:rPr>
            </w:pPr>
            <w:r>
              <w:t xml:space="preserve">0.7 </w:t>
            </w:r>
          </w:p>
        </w:tc>
      </w:tr>
      <w:tr w14:paraId="14C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14:paraId="04D32F66">
            <w:pPr>
              <w:pStyle w:val="51"/>
              <w:rPr>
                <w:rFonts w:hint="default"/>
              </w:rPr>
            </w:pPr>
          </w:p>
        </w:tc>
        <w:tc>
          <w:tcPr>
            <w:tcW w:w="3061" w:type="dxa"/>
            <w:vAlign w:val="center"/>
          </w:tcPr>
          <w:p w14:paraId="3633233C">
            <w:pPr>
              <w:pStyle w:val="51"/>
              <w:rPr>
                <w:rFonts w:hint="default"/>
              </w:rPr>
            </w:pPr>
            <w:r>
              <w:t>旅游区、度假村</w:t>
            </w:r>
          </w:p>
        </w:tc>
        <w:tc>
          <w:tcPr>
            <w:tcW w:w="3001" w:type="dxa"/>
            <w:vAlign w:val="center"/>
          </w:tcPr>
          <w:p w14:paraId="589E5FF1">
            <w:pPr>
              <w:pStyle w:val="51"/>
              <w:rPr>
                <w:rFonts w:hint="default"/>
              </w:rPr>
            </w:pPr>
            <w:r>
              <w:t>车位/公顷占地面积</w:t>
            </w:r>
          </w:p>
        </w:tc>
        <w:tc>
          <w:tcPr>
            <w:tcW w:w="690" w:type="dxa"/>
            <w:vAlign w:val="center"/>
          </w:tcPr>
          <w:p w14:paraId="15A30CE6">
            <w:pPr>
              <w:pStyle w:val="51"/>
              <w:rPr>
                <w:rFonts w:hint="default"/>
              </w:rPr>
            </w:pPr>
            <w:r>
              <w:t xml:space="preserve">2 </w:t>
            </w:r>
          </w:p>
        </w:tc>
        <w:tc>
          <w:tcPr>
            <w:tcW w:w="690" w:type="dxa"/>
            <w:vAlign w:val="center"/>
          </w:tcPr>
          <w:p w14:paraId="12F760E8">
            <w:pPr>
              <w:pStyle w:val="51"/>
              <w:rPr>
                <w:rFonts w:hint="default"/>
              </w:rPr>
            </w:pPr>
            <w:r>
              <w:t xml:space="preserve">2 </w:t>
            </w:r>
          </w:p>
        </w:tc>
      </w:tr>
      <w:tr w14:paraId="1CB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7806CE70">
            <w:pPr>
              <w:pStyle w:val="51"/>
              <w:rPr>
                <w:rFonts w:hint="default"/>
              </w:rPr>
            </w:pPr>
            <w:r>
              <w:t>工业</w:t>
            </w:r>
          </w:p>
        </w:tc>
        <w:tc>
          <w:tcPr>
            <w:tcW w:w="3001" w:type="dxa"/>
            <w:vAlign w:val="center"/>
          </w:tcPr>
          <w:p w14:paraId="51F8A67B">
            <w:pPr>
              <w:pStyle w:val="51"/>
              <w:rPr>
                <w:rFonts w:hint="default"/>
              </w:rPr>
            </w:pPr>
            <w:r>
              <w:t>车位/100㎡建筑面积</w:t>
            </w:r>
          </w:p>
        </w:tc>
        <w:tc>
          <w:tcPr>
            <w:tcW w:w="690" w:type="dxa"/>
            <w:vAlign w:val="center"/>
          </w:tcPr>
          <w:p w14:paraId="187C32F0">
            <w:pPr>
              <w:pStyle w:val="51"/>
              <w:rPr>
                <w:rFonts w:hint="default"/>
              </w:rPr>
            </w:pPr>
            <w:r>
              <w:t xml:space="preserve">0.2 </w:t>
            </w:r>
          </w:p>
        </w:tc>
        <w:tc>
          <w:tcPr>
            <w:tcW w:w="690" w:type="dxa"/>
            <w:vAlign w:val="center"/>
          </w:tcPr>
          <w:p w14:paraId="5DAB90CF">
            <w:pPr>
              <w:pStyle w:val="51"/>
              <w:rPr>
                <w:rFonts w:hint="default"/>
              </w:rPr>
            </w:pPr>
            <w:r>
              <w:t xml:space="preserve">0.2 </w:t>
            </w:r>
          </w:p>
        </w:tc>
      </w:tr>
      <w:tr w14:paraId="526F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14:paraId="0868F13E">
            <w:pPr>
              <w:pStyle w:val="51"/>
              <w:rPr>
                <w:rFonts w:hint="default"/>
              </w:rPr>
            </w:pPr>
            <w:r>
              <w:t>物流仓储</w:t>
            </w:r>
          </w:p>
        </w:tc>
        <w:tc>
          <w:tcPr>
            <w:tcW w:w="3001" w:type="dxa"/>
            <w:vAlign w:val="center"/>
          </w:tcPr>
          <w:p w14:paraId="61E8452C">
            <w:pPr>
              <w:pStyle w:val="51"/>
              <w:rPr>
                <w:rFonts w:hint="default"/>
              </w:rPr>
            </w:pPr>
            <w:r>
              <w:t>车位/100㎡建筑面积</w:t>
            </w:r>
          </w:p>
        </w:tc>
        <w:tc>
          <w:tcPr>
            <w:tcW w:w="690" w:type="dxa"/>
            <w:vAlign w:val="center"/>
          </w:tcPr>
          <w:p w14:paraId="548A2FFC">
            <w:pPr>
              <w:pStyle w:val="51"/>
              <w:rPr>
                <w:rFonts w:hint="default"/>
              </w:rPr>
            </w:pPr>
            <w:r>
              <w:t xml:space="preserve">0.5 </w:t>
            </w:r>
          </w:p>
        </w:tc>
        <w:tc>
          <w:tcPr>
            <w:tcW w:w="690" w:type="dxa"/>
            <w:vAlign w:val="center"/>
          </w:tcPr>
          <w:p w14:paraId="57F220DD">
            <w:pPr>
              <w:pStyle w:val="51"/>
              <w:rPr>
                <w:rFonts w:hint="default"/>
              </w:rPr>
            </w:pPr>
            <w:r>
              <w:t xml:space="preserve">0.5 </w:t>
            </w:r>
          </w:p>
        </w:tc>
      </w:tr>
    </w:tbl>
    <w:p w14:paraId="1472F1F3">
      <w:pPr>
        <w:ind w:firstLine="560"/>
        <w:rPr>
          <w:sz w:val="28"/>
          <w:szCs w:val="22"/>
        </w:rPr>
      </w:pPr>
      <w:r>
        <w:rPr>
          <w:rFonts w:hint="eastAsia"/>
          <w:sz w:val="28"/>
          <w:szCs w:val="22"/>
        </w:rPr>
        <w:t>注：①停车场机动车位用地面积均按照当量小型汽车的停车位数计算，地面停车位不少于25平方米/位，地下停车位不少于30平方米/位。</w:t>
      </w:r>
    </w:p>
    <w:p w14:paraId="3E0E7A40">
      <w:pPr>
        <w:ind w:firstLine="560"/>
        <w:rPr>
          <w:sz w:val="28"/>
          <w:szCs w:val="22"/>
        </w:rPr>
      </w:pPr>
      <w:r>
        <w:rPr>
          <w:rFonts w:hint="eastAsia"/>
          <w:sz w:val="28"/>
          <w:szCs w:val="22"/>
        </w:rPr>
        <w:t>②居住区内地面停车率（即居住区内居民的地面停车位与居住户数的比率）不宜超过10%。</w:t>
      </w:r>
    </w:p>
    <w:p w14:paraId="67C17C08">
      <w:pPr>
        <w:ind w:firstLine="560"/>
        <w:rPr>
          <w:sz w:val="28"/>
          <w:szCs w:val="22"/>
        </w:rPr>
      </w:pPr>
      <w:r>
        <w:rPr>
          <w:rFonts w:hint="eastAsia"/>
          <w:sz w:val="28"/>
          <w:szCs w:val="22"/>
        </w:rPr>
        <w:t>③学生接送停车位应当在学校总平面图内考虑，停车场（库）出入口应当单独设置，不得开设在学校围墙内部，应当满足学校的有关安全规定，停车场（库）与学校之间可考虑设置直接联系的人行出入口。</w:t>
      </w:r>
    </w:p>
    <w:p w14:paraId="08EAFA67">
      <w:pPr>
        <w:ind w:firstLine="560"/>
        <w:rPr>
          <w:sz w:val="28"/>
          <w:szCs w:val="22"/>
        </w:rPr>
      </w:pPr>
      <w:r>
        <w:rPr>
          <w:rFonts w:hint="eastAsia"/>
          <w:sz w:val="28"/>
          <w:szCs w:val="22"/>
        </w:rPr>
        <w:t>④特殊地段棚户区改造、困难企业职工危旧房改造项目配套机动车停车位配套标准可酌情考虑降低至不少于0.5车位/户。</w:t>
      </w:r>
    </w:p>
    <w:p w14:paraId="5A05BE4C">
      <w:pPr>
        <w:ind w:firstLine="560"/>
        <w:rPr>
          <w:sz w:val="28"/>
          <w:szCs w:val="22"/>
        </w:rPr>
      </w:pPr>
      <w:r>
        <w:rPr>
          <w:rFonts w:hint="eastAsia"/>
          <w:sz w:val="28"/>
          <w:szCs w:val="22"/>
        </w:rPr>
        <w:t>⑤单独设置的餐饮娱乐、批发市场应当在普通商业的基础上，结合实际情况适当上浮。</w:t>
      </w:r>
    </w:p>
    <w:p w14:paraId="3EF43DB9">
      <w:pPr>
        <w:ind w:firstLine="560"/>
        <w:rPr>
          <w:sz w:val="28"/>
          <w:szCs w:val="22"/>
        </w:rPr>
      </w:pPr>
      <w:r>
        <w:rPr>
          <w:rFonts w:hint="eastAsia"/>
          <w:sz w:val="28"/>
          <w:szCs w:val="22"/>
        </w:rPr>
        <w:t>⑤工业、仓储用地中办公、科研、宿舍等配套服务设施停车配套标准参照对应建筑使用性质确定。</w:t>
      </w:r>
    </w:p>
    <w:p w14:paraId="27E53E32">
      <w:pPr>
        <w:ind w:firstLine="560"/>
        <w:rPr>
          <w:sz w:val="28"/>
          <w:szCs w:val="22"/>
        </w:rPr>
      </w:pPr>
      <w:r>
        <w:rPr>
          <w:rFonts w:hint="eastAsia"/>
          <w:sz w:val="28"/>
          <w:szCs w:val="22"/>
        </w:rPr>
        <w:t>⑥城市新区的商品房住宅项目如采用小型车位+微型车位的设计形式，微型车位不超过总车位数的20%，微型车位的换算系数为0.7。</w:t>
      </w:r>
    </w:p>
    <w:p w14:paraId="716F6E85">
      <w:pPr>
        <w:ind w:firstLine="640"/>
        <w:jc w:val="center"/>
      </w:pPr>
      <w:r>
        <w:t>表</w:t>
      </w:r>
      <w:r>
        <w:rPr>
          <w:rFonts w:hint="eastAsia"/>
        </w:rPr>
        <w:t>7</w:t>
      </w:r>
      <w:r>
        <w:t xml:space="preserve"> 非机动车标准车位配建指标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27"/>
        <w:gridCol w:w="2241"/>
        <w:gridCol w:w="2199"/>
        <w:gridCol w:w="2390"/>
      </w:tblGrid>
      <w:tr w14:paraId="28E0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3933" w:type="dxa"/>
            <w:gridSpan w:val="3"/>
            <w:vMerge w:val="restart"/>
            <w:vAlign w:val="center"/>
          </w:tcPr>
          <w:p w14:paraId="4D4A23B1">
            <w:pPr>
              <w:pStyle w:val="51"/>
              <w:rPr>
                <w:rFonts w:hint="default"/>
              </w:rPr>
            </w:pPr>
            <w:r>
              <w:t>建设项目类型</w:t>
            </w:r>
          </w:p>
        </w:tc>
        <w:tc>
          <w:tcPr>
            <w:tcW w:w="2199" w:type="dxa"/>
            <w:vMerge w:val="restart"/>
            <w:vAlign w:val="center"/>
          </w:tcPr>
          <w:p w14:paraId="2DA5C5A0">
            <w:pPr>
              <w:pStyle w:val="51"/>
              <w:rPr>
                <w:rFonts w:hint="default"/>
              </w:rPr>
            </w:pPr>
            <w:r>
              <w:t>计算单位</w:t>
            </w:r>
          </w:p>
        </w:tc>
        <w:tc>
          <w:tcPr>
            <w:tcW w:w="2390" w:type="dxa"/>
            <w:vMerge w:val="restart"/>
            <w:vAlign w:val="center"/>
          </w:tcPr>
          <w:p w14:paraId="5DB66438">
            <w:pPr>
              <w:pStyle w:val="51"/>
              <w:rPr>
                <w:rFonts w:hint="default"/>
              </w:rPr>
            </w:pPr>
            <w:r>
              <w:t>非机动车</w:t>
            </w:r>
          </w:p>
        </w:tc>
      </w:tr>
      <w:tr w14:paraId="67E0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3933" w:type="dxa"/>
            <w:gridSpan w:val="3"/>
            <w:vMerge w:val="continue"/>
            <w:vAlign w:val="center"/>
          </w:tcPr>
          <w:p w14:paraId="10ECA39D">
            <w:pPr>
              <w:pStyle w:val="51"/>
              <w:rPr>
                <w:rFonts w:hint="default"/>
              </w:rPr>
            </w:pPr>
          </w:p>
        </w:tc>
        <w:tc>
          <w:tcPr>
            <w:tcW w:w="2199" w:type="dxa"/>
            <w:vMerge w:val="continue"/>
            <w:vAlign w:val="center"/>
          </w:tcPr>
          <w:p w14:paraId="3B2CD5CE">
            <w:pPr>
              <w:pStyle w:val="51"/>
              <w:rPr>
                <w:rFonts w:hint="default"/>
              </w:rPr>
            </w:pPr>
          </w:p>
        </w:tc>
        <w:tc>
          <w:tcPr>
            <w:tcW w:w="2390" w:type="dxa"/>
            <w:vMerge w:val="continue"/>
            <w:vAlign w:val="center"/>
          </w:tcPr>
          <w:p w14:paraId="14334BAD">
            <w:pPr>
              <w:pStyle w:val="51"/>
              <w:rPr>
                <w:rFonts w:hint="default"/>
              </w:rPr>
            </w:pPr>
          </w:p>
        </w:tc>
      </w:tr>
      <w:tr w14:paraId="3F51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restart"/>
            <w:vAlign w:val="center"/>
          </w:tcPr>
          <w:p w14:paraId="65FEC028">
            <w:pPr>
              <w:pStyle w:val="51"/>
              <w:rPr>
                <w:rFonts w:hint="default"/>
              </w:rPr>
            </w:pPr>
            <w:r>
              <w:t>住宅</w:t>
            </w:r>
          </w:p>
        </w:tc>
        <w:tc>
          <w:tcPr>
            <w:tcW w:w="2241" w:type="dxa"/>
            <w:vAlign w:val="center"/>
          </w:tcPr>
          <w:p w14:paraId="0FE9D9A8">
            <w:pPr>
              <w:pStyle w:val="51"/>
              <w:rPr>
                <w:rFonts w:hint="default"/>
              </w:rPr>
            </w:pPr>
            <w:r>
              <w:t>商品房</w:t>
            </w:r>
          </w:p>
        </w:tc>
        <w:tc>
          <w:tcPr>
            <w:tcW w:w="2199" w:type="dxa"/>
            <w:vAlign w:val="center"/>
          </w:tcPr>
          <w:p w14:paraId="42656D5F">
            <w:pPr>
              <w:pStyle w:val="51"/>
              <w:rPr>
                <w:rFonts w:hint="default"/>
              </w:rPr>
            </w:pPr>
            <w:r>
              <w:t>车位/户</w:t>
            </w:r>
          </w:p>
        </w:tc>
        <w:tc>
          <w:tcPr>
            <w:tcW w:w="2390" w:type="dxa"/>
            <w:vAlign w:val="center"/>
          </w:tcPr>
          <w:p w14:paraId="7D08359B">
            <w:pPr>
              <w:pStyle w:val="51"/>
              <w:rPr>
                <w:rFonts w:hint="default"/>
              </w:rPr>
            </w:pPr>
            <w:r>
              <w:t>2</w:t>
            </w:r>
          </w:p>
        </w:tc>
      </w:tr>
      <w:tr w14:paraId="06A5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14:paraId="72A7888A">
            <w:pPr>
              <w:pStyle w:val="51"/>
              <w:rPr>
                <w:rFonts w:hint="default"/>
              </w:rPr>
            </w:pPr>
          </w:p>
        </w:tc>
        <w:tc>
          <w:tcPr>
            <w:tcW w:w="2241" w:type="dxa"/>
            <w:vAlign w:val="center"/>
          </w:tcPr>
          <w:p w14:paraId="0B611784">
            <w:pPr>
              <w:pStyle w:val="51"/>
              <w:rPr>
                <w:rFonts w:hint="default"/>
              </w:rPr>
            </w:pPr>
            <w:r>
              <w:t>城中村改造地块</w:t>
            </w:r>
          </w:p>
        </w:tc>
        <w:tc>
          <w:tcPr>
            <w:tcW w:w="2199" w:type="dxa"/>
            <w:vAlign w:val="center"/>
          </w:tcPr>
          <w:p w14:paraId="507D8F59">
            <w:pPr>
              <w:pStyle w:val="51"/>
              <w:rPr>
                <w:rFonts w:hint="default"/>
              </w:rPr>
            </w:pPr>
            <w:r>
              <w:t>车位/户</w:t>
            </w:r>
          </w:p>
        </w:tc>
        <w:tc>
          <w:tcPr>
            <w:tcW w:w="2390" w:type="dxa"/>
            <w:vAlign w:val="center"/>
          </w:tcPr>
          <w:p w14:paraId="28F1CFCF">
            <w:pPr>
              <w:pStyle w:val="51"/>
              <w:rPr>
                <w:rFonts w:hint="default"/>
              </w:rPr>
            </w:pPr>
            <w:r>
              <w:t>2</w:t>
            </w:r>
          </w:p>
        </w:tc>
      </w:tr>
      <w:tr w14:paraId="19D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14:paraId="0B2EA571">
            <w:pPr>
              <w:pStyle w:val="51"/>
              <w:rPr>
                <w:rFonts w:hint="default"/>
              </w:rPr>
            </w:pPr>
          </w:p>
        </w:tc>
        <w:tc>
          <w:tcPr>
            <w:tcW w:w="2241" w:type="dxa"/>
            <w:vAlign w:val="center"/>
          </w:tcPr>
          <w:p w14:paraId="16491214">
            <w:pPr>
              <w:pStyle w:val="51"/>
              <w:rPr>
                <w:rFonts w:hint="default"/>
              </w:rPr>
            </w:pPr>
            <w:r>
              <w:t>保障性住房</w:t>
            </w:r>
          </w:p>
        </w:tc>
        <w:tc>
          <w:tcPr>
            <w:tcW w:w="2199" w:type="dxa"/>
            <w:vAlign w:val="center"/>
          </w:tcPr>
          <w:p w14:paraId="61C3A645">
            <w:pPr>
              <w:pStyle w:val="51"/>
              <w:rPr>
                <w:rFonts w:hint="default"/>
              </w:rPr>
            </w:pPr>
            <w:r>
              <w:t>车位/户</w:t>
            </w:r>
          </w:p>
        </w:tc>
        <w:tc>
          <w:tcPr>
            <w:tcW w:w="2390" w:type="dxa"/>
            <w:vAlign w:val="center"/>
          </w:tcPr>
          <w:p w14:paraId="39A45D15">
            <w:pPr>
              <w:pStyle w:val="51"/>
              <w:rPr>
                <w:rFonts w:hint="default"/>
              </w:rPr>
            </w:pPr>
            <w:r>
              <w:t>2</w:t>
            </w:r>
          </w:p>
        </w:tc>
      </w:tr>
      <w:tr w14:paraId="0AEF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14:paraId="56A350BD">
            <w:pPr>
              <w:pStyle w:val="51"/>
              <w:rPr>
                <w:rFonts w:hint="default"/>
              </w:rPr>
            </w:pPr>
          </w:p>
        </w:tc>
        <w:tc>
          <w:tcPr>
            <w:tcW w:w="2241" w:type="dxa"/>
            <w:vAlign w:val="center"/>
          </w:tcPr>
          <w:p w14:paraId="280ABCC6">
            <w:pPr>
              <w:pStyle w:val="51"/>
              <w:rPr>
                <w:rFonts w:hint="default"/>
              </w:rPr>
            </w:pPr>
            <w:r>
              <w:t>经济适用房、旧区改造拆迁安置项目、普通企业职工集资建房</w:t>
            </w:r>
          </w:p>
        </w:tc>
        <w:tc>
          <w:tcPr>
            <w:tcW w:w="2199" w:type="dxa"/>
            <w:vAlign w:val="center"/>
          </w:tcPr>
          <w:p w14:paraId="342C363B">
            <w:pPr>
              <w:pStyle w:val="51"/>
              <w:rPr>
                <w:rFonts w:hint="default"/>
              </w:rPr>
            </w:pPr>
            <w:r>
              <w:t>车位/户</w:t>
            </w:r>
          </w:p>
        </w:tc>
        <w:tc>
          <w:tcPr>
            <w:tcW w:w="2390" w:type="dxa"/>
            <w:vAlign w:val="center"/>
          </w:tcPr>
          <w:p w14:paraId="04897548">
            <w:pPr>
              <w:pStyle w:val="51"/>
              <w:rPr>
                <w:rFonts w:hint="default"/>
              </w:rPr>
            </w:pPr>
            <w:r>
              <w:t>2</w:t>
            </w:r>
          </w:p>
        </w:tc>
      </w:tr>
      <w:tr w14:paraId="3F22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33" w:type="dxa"/>
            <w:gridSpan w:val="3"/>
            <w:vMerge w:val="restart"/>
            <w:vAlign w:val="center"/>
          </w:tcPr>
          <w:p w14:paraId="1333653E">
            <w:pPr>
              <w:pStyle w:val="51"/>
              <w:rPr>
                <w:rFonts w:hint="default"/>
              </w:rPr>
            </w:pPr>
            <w:r>
              <w:t>行政、企事业办公及科研</w:t>
            </w:r>
          </w:p>
        </w:tc>
        <w:tc>
          <w:tcPr>
            <w:tcW w:w="2199" w:type="dxa"/>
            <w:vMerge w:val="restart"/>
            <w:vAlign w:val="center"/>
          </w:tcPr>
          <w:p w14:paraId="6EE93ACD">
            <w:pPr>
              <w:pStyle w:val="51"/>
              <w:rPr>
                <w:rFonts w:hint="default"/>
              </w:rPr>
            </w:pPr>
            <w:r>
              <w:t>车位/100㎡建筑面积</w:t>
            </w:r>
          </w:p>
        </w:tc>
        <w:tc>
          <w:tcPr>
            <w:tcW w:w="2390" w:type="dxa"/>
            <w:vMerge w:val="restart"/>
            <w:vAlign w:val="center"/>
          </w:tcPr>
          <w:p w14:paraId="710F0362">
            <w:pPr>
              <w:pStyle w:val="51"/>
              <w:rPr>
                <w:rFonts w:hint="default"/>
              </w:rPr>
            </w:pPr>
            <w:r>
              <w:t>4</w:t>
            </w:r>
          </w:p>
        </w:tc>
      </w:tr>
      <w:tr w14:paraId="1538FA8D">
        <w:tblPrEx>
          <w:tblCellMar>
            <w:top w:w="0" w:type="dxa"/>
            <w:left w:w="108" w:type="dxa"/>
            <w:bottom w:w="0" w:type="dxa"/>
            <w:right w:w="108" w:type="dxa"/>
          </w:tblCellMar>
        </w:tblPrEx>
        <w:trPr>
          <w:trHeight w:val="628" w:hRule="atLeast"/>
          <w:jc w:val="center"/>
        </w:trPr>
        <w:tc>
          <w:tcPr>
            <w:tcW w:w="3933" w:type="dxa"/>
            <w:gridSpan w:val="3"/>
            <w:vMerge w:val="continue"/>
            <w:vAlign w:val="center"/>
          </w:tcPr>
          <w:p w14:paraId="3B72A0E6">
            <w:pPr>
              <w:pStyle w:val="51"/>
              <w:rPr>
                <w:rFonts w:hint="default"/>
              </w:rPr>
            </w:pPr>
          </w:p>
        </w:tc>
        <w:tc>
          <w:tcPr>
            <w:tcW w:w="2199" w:type="dxa"/>
            <w:vMerge w:val="continue"/>
            <w:vAlign w:val="center"/>
          </w:tcPr>
          <w:p w14:paraId="533F28AD">
            <w:pPr>
              <w:pStyle w:val="51"/>
              <w:rPr>
                <w:rFonts w:hint="default"/>
              </w:rPr>
            </w:pPr>
          </w:p>
        </w:tc>
        <w:tc>
          <w:tcPr>
            <w:tcW w:w="2390" w:type="dxa"/>
            <w:vMerge w:val="continue"/>
            <w:vAlign w:val="center"/>
          </w:tcPr>
          <w:p w14:paraId="5F94EEDF">
            <w:pPr>
              <w:pStyle w:val="51"/>
              <w:rPr>
                <w:rFonts w:hint="default"/>
              </w:rPr>
            </w:pPr>
          </w:p>
        </w:tc>
      </w:tr>
      <w:tr w14:paraId="2C0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14D022E3">
            <w:pPr>
              <w:pStyle w:val="51"/>
              <w:rPr>
                <w:rFonts w:hint="default"/>
              </w:rPr>
            </w:pPr>
            <w:r>
              <w:t>普通商业</w:t>
            </w:r>
          </w:p>
          <w:p w14:paraId="6361D84C">
            <w:pPr>
              <w:pStyle w:val="51"/>
              <w:rPr>
                <w:rFonts w:hint="default"/>
              </w:rPr>
            </w:pPr>
            <w:r>
              <w:t>（含居住区配套商业、超市等）</w:t>
            </w:r>
          </w:p>
        </w:tc>
        <w:tc>
          <w:tcPr>
            <w:tcW w:w="2199" w:type="dxa"/>
            <w:vAlign w:val="center"/>
          </w:tcPr>
          <w:p w14:paraId="5AE27FF2">
            <w:pPr>
              <w:pStyle w:val="51"/>
              <w:rPr>
                <w:rFonts w:hint="default"/>
              </w:rPr>
            </w:pPr>
            <w:r>
              <w:t>车位/100㎡建筑面积</w:t>
            </w:r>
          </w:p>
        </w:tc>
        <w:tc>
          <w:tcPr>
            <w:tcW w:w="2390" w:type="dxa"/>
            <w:vAlign w:val="center"/>
          </w:tcPr>
          <w:p w14:paraId="085CB924">
            <w:pPr>
              <w:pStyle w:val="51"/>
              <w:rPr>
                <w:rFonts w:hint="default"/>
              </w:rPr>
            </w:pPr>
            <w:r>
              <w:t>8</w:t>
            </w:r>
          </w:p>
        </w:tc>
      </w:tr>
      <w:tr w14:paraId="3C35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1C471324">
            <w:pPr>
              <w:pStyle w:val="51"/>
              <w:rPr>
                <w:rFonts w:hint="default"/>
              </w:rPr>
            </w:pPr>
            <w:r>
              <w:t>农贸市场</w:t>
            </w:r>
          </w:p>
        </w:tc>
        <w:tc>
          <w:tcPr>
            <w:tcW w:w="2199" w:type="dxa"/>
            <w:vAlign w:val="center"/>
          </w:tcPr>
          <w:p w14:paraId="4ECC9DE9">
            <w:pPr>
              <w:pStyle w:val="51"/>
              <w:rPr>
                <w:rFonts w:hint="default"/>
              </w:rPr>
            </w:pPr>
            <w:r>
              <w:t>车位/100㎡建筑面积</w:t>
            </w:r>
          </w:p>
        </w:tc>
        <w:tc>
          <w:tcPr>
            <w:tcW w:w="2390" w:type="dxa"/>
            <w:vAlign w:val="center"/>
          </w:tcPr>
          <w:p w14:paraId="0431CCFC">
            <w:pPr>
              <w:pStyle w:val="51"/>
              <w:rPr>
                <w:rFonts w:hint="default"/>
              </w:rPr>
            </w:pPr>
            <w:r>
              <w:t>8</w:t>
            </w:r>
          </w:p>
        </w:tc>
      </w:tr>
      <w:tr w14:paraId="7780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5615D5DE">
            <w:pPr>
              <w:pStyle w:val="51"/>
              <w:rPr>
                <w:rFonts w:hint="default"/>
              </w:rPr>
            </w:pPr>
            <w:r>
              <w:t>旅馆业用地</w:t>
            </w:r>
          </w:p>
        </w:tc>
        <w:tc>
          <w:tcPr>
            <w:tcW w:w="2199" w:type="dxa"/>
            <w:vAlign w:val="center"/>
          </w:tcPr>
          <w:p w14:paraId="369E4D2C">
            <w:pPr>
              <w:pStyle w:val="51"/>
              <w:rPr>
                <w:rFonts w:hint="default"/>
              </w:rPr>
            </w:pPr>
            <w:r>
              <w:t>车位/客房</w:t>
            </w:r>
          </w:p>
        </w:tc>
        <w:tc>
          <w:tcPr>
            <w:tcW w:w="2390" w:type="dxa"/>
            <w:vAlign w:val="center"/>
          </w:tcPr>
          <w:p w14:paraId="469936B4">
            <w:pPr>
              <w:pStyle w:val="51"/>
              <w:rPr>
                <w:rFonts w:hint="default"/>
              </w:rPr>
            </w:pPr>
            <w:r>
              <w:t>2</w:t>
            </w:r>
          </w:p>
        </w:tc>
      </w:tr>
      <w:tr w14:paraId="0C9A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14:paraId="0EBBE5EA">
            <w:pPr>
              <w:pStyle w:val="51"/>
              <w:rPr>
                <w:rFonts w:hint="default"/>
              </w:rPr>
            </w:pPr>
            <w:r>
              <w:t>医院</w:t>
            </w:r>
          </w:p>
        </w:tc>
        <w:tc>
          <w:tcPr>
            <w:tcW w:w="2868" w:type="dxa"/>
            <w:gridSpan w:val="2"/>
            <w:vAlign w:val="center"/>
          </w:tcPr>
          <w:p w14:paraId="104D3019">
            <w:pPr>
              <w:pStyle w:val="51"/>
              <w:rPr>
                <w:rFonts w:hint="default"/>
              </w:rPr>
            </w:pPr>
            <w:r>
              <w:t>社区卫生服务中心</w:t>
            </w:r>
          </w:p>
        </w:tc>
        <w:tc>
          <w:tcPr>
            <w:tcW w:w="2199" w:type="dxa"/>
            <w:vAlign w:val="center"/>
          </w:tcPr>
          <w:p w14:paraId="7C80FC9B">
            <w:pPr>
              <w:pStyle w:val="51"/>
              <w:rPr>
                <w:rFonts w:hint="default"/>
              </w:rPr>
            </w:pPr>
            <w:r>
              <w:t>车位/100㎡建筑面积</w:t>
            </w:r>
          </w:p>
        </w:tc>
        <w:tc>
          <w:tcPr>
            <w:tcW w:w="2390" w:type="dxa"/>
            <w:vAlign w:val="center"/>
          </w:tcPr>
          <w:p w14:paraId="145B9D18">
            <w:pPr>
              <w:pStyle w:val="51"/>
              <w:rPr>
                <w:rFonts w:hint="default"/>
              </w:rPr>
            </w:pPr>
            <w:r>
              <w:t>4</w:t>
            </w:r>
          </w:p>
        </w:tc>
      </w:tr>
      <w:tr w14:paraId="6F47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0310939D">
            <w:pPr>
              <w:pStyle w:val="51"/>
              <w:rPr>
                <w:rFonts w:hint="default"/>
              </w:rPr>
            </w:pPr>
          </w:p>
        </w:tc>
        <w:tc>
          <w:tcPr>
            <w:tcW w:w="2868" w:type="dxa"/>
            <w:gridSpan w:val="2"/>
            <w:vAlign w:val="center"/>
          </w:tcPr>
          <w:p w14:paraId="7D2BC635">
            <w:pPr>
              <w:pStyle w:val="51"/>
              <w:rPr>
                <w:rFonts w:hint="default"/>
              </w:rPr>
            </w:pPr>
            <w:r>
              <w:t>综合医院</w:t>
            </w:r>
          </w:p>
        </w:tc>
        <w:tc>
          <w:tcPr>
            <w:tcW w:w="2199" w:type="dxa"/>
            <w:vAlign w:val="center"/>
          </w:tcPr>
          <w:p w14:paraId="70825680">
            <w:pPr>
              <w:pStyle w:val="51"/>
              <w:rPr>
                <w:rFonts w:hint="default"/>
              </w:rPr>
            </w:pPr>
            <w:r>
              <w:t>车位/100㎡建筑面积</w:t>
            </w:r>
          </w:p>
        </w:tc>
        <w:tc>
          <w:tcPr>
            <w:tcW w:w="2390" w:type="dxa"/>
            <w:vAlign w:val="center"/>
          </w:tcPr>
          <w:p w14:paraId="34F7429B">
            <w:pPr>
              <w:pStyle w:val="51"/>
              <w:rPr>
                <w:rFonts w:hint="default"/>
              </w:rPr>
            </w:pPr>
            <w:r>
              <w:t>3</w:t>
            </w:r>
          </w:p>
        </w:tc>
      </w:tr>
      <w:tr w14:paraId="2708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447C1B75">
            <w:pPr>
              <w:pStyle w:val="51"/>
              <w:rPr>
                <w:rFonts w:hint="default"/>
              </w:rPr>
            </w:pPr>
          </w:p>
        </w:tc>
        <w:tc>
          <w:tcPr>
            <w:tcW w:w="2868" w:type="dxa"/>
            <w:gridSpan w:val="2"/>
            <w:vAlign w:val="center"/>
          </w:tcPr>
          <w:p w14:paraId="3E6F824A">
            <w:pPr>
              <w:pStyle w:val="51"/>
              <w:rPr>
                <w:rFonts w:hint="default"/>
              </w:rPr>
            </w:pPr>
            <w:r>
              <w:t>养老设施、疗养院</w:t>
            </w:r>
          </w:p>
        </w:tc>
        <w:tc>
          <w:tcPr>
            <w:tcW w:w="2199" w:type="dxa"/>
            <w:vAlign w:val="center"/>
          </w:tcPr>
          <w:p w14:paraId="45D261FF">
            <w:pPr>
              <w:pStyle w:val="51"/>
              <w:rPr>
                <w:rFonts w:hint="default"/>
              </w:rPr>
            </w:pPr>
            <w:r>
              <w:t>车位/100㎡建筑面积</w:t>
            </w:r>
          </w:p>
        </w:tc>
        <w:tc>
          <w:tcPr>
            <w:tcW w:w="2390" w:type="dxa"/>
            <w:vAlign w:val="center"/>
          </w:tcPr>
          <w:p w14:paraId="7BEFE742">
            <w:pPr>
              <w:pStyle w:val="51"/>
              <w:rPr>
                <w:rFonts w:hint="default"/>
              </w:rPr>
            </w:pPr>
            <w:r>
              <w:t>0.5</w:t>
            </w:r>
          </w:p>
        </w:tc>
      </w:tr>
      <w:tr w14:paraId="17ED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225C13DC">
            <w:pPr>
              <w:pStyle w:val="51"/>
              <w:rPr>
                <w:rFonts w:hint="default"/>
              </w:rPr>
            </w:pPr>
            <w:r>
              <w:t>影剧院</w:t>
            </w:r>
          </w:p>
        </w:tc>
        <w:tc>
          <w:tcPr>
            <w:tcW w:w="2199" w:type="dxa"/>
            <w:vAlign w:val="center"/>
          </w:tcPr>
          <w:p w14:paraId="70030C1D">
            <w:pPr>
              <w:pStyle w:val="51"/>
              <w:rPr>
                <w:rFonts w:hint="default"/>
              </w:rPr>
            </w:pPr>
            <w:r>
              <w:t>车位/百座</w:t>
            </w:r>
          </w:p>
        </w:tc>
        <w:tc>
          <w:tcPr>
            <w:tcW w:w="2390" w:type="dxa"/>
            <w:vAlign w:val="center"/>
          </w:tcPr>
          <w:p w14:paraId="0EA09BC9">
            <w:pPr>
              <w:pStyle w:val="51"/>
              <w:rPr>
                <w:rFonts w:hint="default"/>
              </w:rPr>
            </w:pPr>
            <w:r>
              <w:t>2</w:t>
            </w:r>
          </w:p>
        </w:tc>
      </w:tr>
      <w:tr w14:paraId="5274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7BE90711">
            <w:pPr>
              <w:pStyle w:val="51"/>
              <w:rPr>
                <w:rFonts w:hint="default"/>
              </w:rPr>
            </w:pPr>
            <w:r>
              <w:t>博物馆、图书馆、档案馆、设备机房等</w:t>
            </w:r>
          </w:p>
        </w:tc>
        <w:tc>
          <w:tcPr>
            <w:tcW w:w="2199" w:type="dxa"/>
            <w:vAlign w:val="center"/>
          </w:tcPr>
          <w:p w14:paraId="258F7EFF">
            <w:pPr>
              <w:pStyle w:val="51"/>
              <w:rPr>
                <w:rFonts w:hint="default"/>
              </w:rPr>
            </w:pPr>
            <w:r>
              <w:t>车位/100㎡建筑面积</w:t>
            </w:r>
          </w:p>
        </w:tc>
        <w:tc>
          <w:tcPr>
            <w:tcW w:w="2390" w:type="dxa"/>
            <w:vAlign w:val="center"/>
          </w:tcPr>
          <w:p w14:paraId="1AF0D2F4">
            <w:pPr>
              <w:pStyle w:val="51"/>
              <w:rPr>
                <w:rFonts w:hint="default"/>
              </w:rPr>
            </w:pPr>
            <w:r>
              <w:t>3</w:t>
            </w:r>
          </w:p>
        </w:tc>
      </w:tr>
      <w:tr w14:paraId="595D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6A53B881">
            <w:pPr>
              <w:pStyle w:val="51"/>
              <w:rPr>
                <w:rFonts w:hint="default"/>
              </w:rPr>
            </w:pPr>
            <w:r>
              <w:t>展览馆、会议中心</w:t>
            </w:r>
          </w:p>
        </w:tc>
        <w:tc>
          <w:tcPr>
            <w:tcW w:w="2199" w:type="dxa"/>
            <w:vAlign w:val="center"/>
          </w:tcPr>
          <w:p w14:paraId="1B122666">
            <w:pPr>
              <w:pStyle w:val="51"/>
              <w:rPr>
                <w:rFonts w:hint="default"/>
              </w:rPr>
            </w:pPr>
            <w:r>
              <w:t>车位/100㎡建筑面积</w:t>
            </w:r>
          </w:p>
        </w:tc>
        <w:tc>
          <w:tcPr>
            <w:tcW w:w="2390" w:type="dxa"/>
            <w:vAlign w:val="center"/>
          </w:tcPr>
          <w:p w14:paraId="24E1AA5D">
            <w:pPr>
              <w:pStyle w:val="51"/>
              <w:rPr>
                <w:rFonts w:hint="default"/>
              </w:rPr>
            </w:pPr>
            <w:r>
              <w:t>6</w:t>
            </w:r>
          </w:p>
        </w:tc>
      </w:tr>
      <w:tr w14:paraId="3159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14:paraId="7251D5F6">
            <w:pPr>
              <w:pStyle w:val="51"/>
              <w:rPr>
                <w:rFonts w:hint="default"/>
              </w:rPr>
            </w:pPr>
            <w:r>
              <w:t>体育设施</w:t>
            </w:r>
          </w:p>
        </w:tc>
        <w:tc>
          <w:tcPr>
            <w:tcW w:w="2868" w:type="dxa"/>
            <w:gridSpan w:val="2"/>
            <w:vAlign w:val="center"/>
          </w:tcPr>
          <w:p w14:paraId="10B52652">
            <w:pPr>
              <w:pStyle w:val="51"/>
              <w:rPr>
                <w:rFonts w:hint="default"/>
              </w:rPr>
            </w:pPr>
            <w:r>
              <w:t>一类（体育场座位数≥15000，体育馆座位数≥4000）</w:t>
            </w:r>
          </w:p>
        </w:tc>
        <w:tc>
          <w:tcPr>
            <w:tcW w:w="2199" w:type="dxa"/>
            <w:vAlign w:val="center"/>
          </w:tcPr>
          <w:p w14:paraId="48CFE15E">
            <w:pPr>
              <w:pStyle w:val="51"/>
              <w:rPr>
                <w:rFonts w:hint="default"/>
              </w:rPr>
            </w:pPr>
            <w:r>
              <w:t>车位/百座</w:t>
            </w:r>
          </w:p>
        </w:tc>
        <w:tc>
          <w:tcPr>
            <w:tcW w:w="2390" w:type="dxa"/>
            <w:vAlign w:val="center"/>
          </w:tcPr>
          <w:p w14:paraId="67C9D794">
            <w:pPr>
              <w:pStyle w:val="51"/>
              <w:rPr>
                <w:rFonts w:hint="default"/>
              </w:rPr>
            </w:pPr>
            <w:r>
              <w:t>25</w:t>
            </w:r>
          </w:p>
        </w:tc>
      </w:tr>
      <w:tr w14:paraId="3AA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686FE3E0">
            <w:pPr>
              <w:pStyle w:val="51"/>
              <w:rPr>
                <w:rFonts w:hint="default"/>
              </w:rPr>
            </w:pPr>
          </w:p>
        </w:tc>
        <w:tc>
          <w:tcPr>
            <w:tcW w:w="2868" w:type="dxa"/>
            <w:gridSpan w:val="2"/>
            <w:vAlign w:val="center"/>
          </w:tcPr>
          <w:p w14:paraId="5CE3AD6F">
            <w:pPr>
              <w:pStyle w:val="51"/>
              <w:rPr>
                <w:rFonts w:hint="default"/>
              </w:rPr>
            </w:pPr>
            <w:r>
              <w:t>二类（体育场座位数≥15000）</w:t>
            </w:r>
          </w:p>
        </w:tc>
        <w:tc>
          <w:tcPr>
            <w:tcW w:w="2199" w:type="dxa"/>
            <w:vAlign w:val="center"/>
          </w:tcPr>
          <w:p w14:paraId="63B75CCF">
            <w:pPr>
              <w:pStyle w:val="51"/>
              <w:rPr>
                <w:rFonts w:hint="default"/>
              </w:rPr>
            </w:pPr>
            <w:r>
              <w:t>车位/百座</w:t>
            </w:r>
          </w:p>
        </w:tc>
        <w:tc>
          <w:tcPr>
            <w:tcW w:w="2390" w:type="dxa"/>
            <w:vAlign w:val="center"/>
          </w:tcPr>
          <w:p w14:paraId="3898B7D7">
            <w:pPr>
              <w:pStyle w:val="51"/>
              <w:rPr>
                <w:rFonts w:hint="default"/>
              </w:rPr>
            </w:pPr>
            <w:r>
              <w:t>25</w:t>
            </w:r>
          </w:p>
        </w:tc>
      </w:tr>
      <w:tr w14:paraId="3F76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6DCC59E0">
            <w:pPr>
              <w:pStyle w:val="51"/>
              <w:rPr>
                <w:rFonts w:hint="default"/>
              </w:rPr>
            </w:pPr>
          </w:p>
        </w:tc>
        <w:tc>
          <w:tcPr>
            <w:tcW w:w="2868" w:type="dxa"/>
            <w:gridSpan w:val="2"/>
            <w:vAlign w:val="center"/>
          </w:tcPr>
          <w:p w14:paraId="3B75B263">
            <w:pPr>
              <w:pStyle w:val="51"/>
              <w:rPr>
                <w:rFonts w:hint="default"/>
              </w:rPr>
            </w:pPr>
            <w:r>
              <w:t>三类（娱乐性体育设施）</w:t>
            </w:r>
          </w:p>
        </w:tc>
        <w:tc>
          <w:tcPr>
            <w:tcW w:w="2199" w:type="dxa"/>
            <w:vAlign w:val="center"/>
          </w:tcPr>
          <w:p w14:paraId="2D134100">
            <w:pPr>
              <w:pStyle w:val="51"/>
              <w:rPr>
                <w:rFonts w:hint="default"/>
              </w:rPr>
            </w:pPr>
            <w:r>
              <w:t>车位/100㎡建筑面积</w:t>
            </w:r>
          </w:p>
        </w:tc>
        <w:tc>
          <w:tcPr>
            <w:tcW w:w="2390" w:type="dxa"/>
            <w:vAlign w:val="center"/>
          </w:tcPr>
          <w:p w14:paraId="75A31C81">
            <w:pPr>
              <w:pStyle w:val="51"/>
              <w:rPr>
                <w:rFonts w:hint="default"/>
              </w:rPr>
            </w:pPr>
            <w:r>
              <w:t>30</w:t>
            </w:r>
          </w:p>
        </w:tc>
      </w:tr>
      <w:tr w14:paraId="5EF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14:paraId="0CACFCA5">
            <w:pPr>
              <w:pStyle w:val="51"/>
              <w:rPr>
                <w:rFonts w:hint="default"/>
              </w:rPr>
            </w:pPr>
            <w:r>
              <w:t>学校</w:t>
            </w:r>
          </w:p>
        </w:tc>
        <w:tc>
          <w:tcPr>
            <w:tcW w:w="2868" w:type="dxa"/>
            <w:gridSpan w:val="2"/>
            <w:vAlign w:val="center"/>
          </w:tcPr>
          <w:p w14:paraId="3F65ED87">
            <w:pPr>
              <w:pStyle w:val="51"/>
              <w:rPr>
                <w:rFonts w:hint="default"/>
              </w:rPr>
            </w:pPr>
            <w:r>
              <w:t>幼儿园</w:t>
            </w:r>
          </w:p>
        </w:tc>
        <w:tc>
          <w:tcPr>
            <w:tcW w:w="2199" w:type="dxa"/>
            <w:vAlign w:val="center"/>
          </w:tcPr>
          <w:p w14:paraId="05744FC8">
            <w:pPr>
              <w:pStyle w:val="51"/>
              <w:rPr>
                <w:rFonts w:hint="default"/>
              </w:rPr>
            </w:pPr>
            <w:r>
              <w:t>车位/100师生</w:t>
            </w:r>
          </w:p>
        </w:tc>
        <w:tc>
          <w:tcPr>
            <w:tcW w:w="2390" w:type="dxa"/>
            <w:vAlign w:val="center"/>
          </w:tcPr>
          <w:p w14:paraId="1DAEFAEF">
            <w:pPr>
              <w:pStyle w:val="51"/>
              <w:rPr>
                <w:rFonts w:hint="default"/>
              </w:rPr>
            </w:pPr>
            <w:r>
              <w:t>15</w:t>
            </w:r>
          </w:p>
        </w:tc>
      </w:tr>
      <w:tr w14:paraId="5113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0734F711">
            <w:pPr>
              <w:pStyle w:val="51"/>
              <w:rPr>
                <w:rFonts w:hint="default"/>
              </w:rPr>
            </w:pPr>
          </w:p>
        </w:tc>
        <w:tc>
          <w:tcPr>
            <w:tcW w:w="2868" w:type="dxa"/>
            <w:gridSpan w:val="2"/>
            <w:vAlign w:val="center"/>
          </w:tcPr>
          <w:p w14:paraId="08091ABA">
            <w:pPr>
              <w:pStyle w:val="51"/>
              <w:rPr>
                <w:rFonts w:hint="default"/>
              </w:rPr>
            </w:pPr>
            <w:r>
              <w:t>小学</w:t>
            </w:r>
          </w:p>
        </w:tc>
        <w:tc>
          <w:tcPr>
            <w:tcW w:w="2199" w:type="dxa"/>
            <w:vAlign w:val="center"/>
          </w:tcPr>
          <w:p w14:paraId="00510A05">
            <w:pPr>
              <w:pStyle w:val="51"/>
              <w:rPr>
                <w:rFonts w:hint="default"/>
              </w:rPr>
            </w:pPr>
            <w:r>
              <w:t>车位/100师生</w:t>
            </w:r>
          </w:p>
        </w:tc>
        <w:tc>
          <w:tcPr>
            <w:tcW w:w="2390" w:type="dxa"/>
            <w:vAlign w:val="center"/>
          </w:tcPr>
          <w:p w14:paraId="717B8F4D">
            <w:pPr>
              <w:pStyle w:val="51"/>
              <w:rPr>
                <w:rFonts w:hint="default"/>
              </w:rPr>
            </w:pPr>
            <w:r>
              <w:t>15</w:t>
            </w:r>
          </w:p>
        </w:tc>
      </w:tr>
      <w:tr w14:paraId="583D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764CA660">
            <w:pPr>
              <w:pStyle w:val="51"/>
              <w:rPr>
                <w:rFonts w:hint="default"/>
              </w:rPr>
            </w:pPr>
          </w:p>
        </w:tc>
        <w:tc>
          <w:tcPr>
            <w:tcW w:w="2868" w:type="dxa"/>
            <w:gridSpan w:val="2"/>
            <w:vAlign w:val="center"/>
          </w:tcPr>
          <w:p w14:paraId="0BDEDE0C">
            <w:pPr>
              <w:pStyle w:val="51"/>
              <w:rPr>
                <w:rFonts w:hint="default"/>
              </w:rPr>
            </w:pPr>
            <w:r>
              <w:t>中学</w:t>
            </w:r>
          </w:p>
        </w:tc>
        <w:tc>
          <w:tcPr>
            <w:tcW w:w="2199" w:type="dxa"/>
            <w:vAlign w:val="center"/>
          </w:tcPr>
          <w:p w14:paraId="152D2500">
            <w:pPr>
              <w:pStyle w:val="51"/>
              <w:rPr>
                <w:rFonts w:hint="default"/>
              </w:rPr>
            </w:pPr>
            <w:r>
              <w:t>车位/100师生</w:t>
            </w:r>
          </w:p>
        </w:tc>
        <w:tc>
          <w:tcPr>
            <w:tcW w:w="2390" w:type="dxa"/>
            <w:vAlign w:val="center"/>
          </w:tcPr>
          <w:p w14:paraId="0E7C6F99">
            <w:pPr>
              <w:pStyle w:val="51"/>
              <w:rPr>
                <w:rFonts w:hint="default"/>
              </w:rPr>
            </w:pPr>
            <w:r>
              <w:t>80</w:t>
            </w:r>
          </w:p>
        </w:tc>
      </w:tr>
      <w:tr w14:paraId="66D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5839931F">
            <w:pPr>
              <w:pStyle w:val="51"/>
              <w:rPr>
                <w:rFonts w:hint="default"/>
              </w:rPr>
            </w:pPr>
          </w:p>
        </w:tc>
        <w:tc>
          <w:tcPr>
            <w:tcW w:w="2868" w:type="dxa"/>
            <w:gridSpan w:val="2"/>
            <w:vAlign w:val="center"/>
          </w:tcPr>
          <w:p w14:paraId="24B2C512">
            <w:pPr>
              <w:pStyle w:val="51"/>
              <w:rPr>
                <w:rFonts w:hint="default"/>
              </w:rPr>
            </w:pPr>
            <w:r>
              <w:t>大中专院校</w:t>
            </w:r>
          </w:p>
        </w:tc>
        <w:tc>
          <w:tcPr>
            <w:tcW w:w="2199" w:type="dxa"/>
            <w:vAlign w:val="center"/>
          </w:tcPr>
          <w:p w14:paraId="4C360C54">
            <w:pPr>
              <w:pStyle w:val="51"/>
              <w:rPr>
                <w:rFonts w:hint="default"/>
              </w:rPr>
            </w:pPr>
            <w:r>
              <w:t>车位/100师生</w:t>
            </w:r>
          </w:p>
        </w:tc>
        <w:tc>
          <w:tcPr>
            <w:tcW w:w="2390" w:type="dxa"/>
            <w:vAlign w:val="center"/>
          </w:tcPr>
          <w:p w14:paraId="60043D10">
            <w:pPr>
              <w:pStyle w:val="51"/>
              <w:rPr>
                <w:rFonts w:hint="default"/>
              </w:rPr>
            </w:pPr>
            <w:r>
              <w:t>80</w:t>
            </w:r>
          </w:p>
        </w:tc>
      </w:tr>
      <w:tr w14:paraId="353A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14:paraId="69F9814E">
            <w:pPr>
              <w:pStyle w:val="51"/>
              <w:rPr>
                <w:rFonts w:hint="default"/>
              </w:rPr>
            </w:pPr>
            <w:r>
              <w:t>游览场所</w:t>
            </w:r>
          </w:p>
        </w:tc>
        <w:tc>
          <w:tcPr>
            <w:tcW w:w="2868" w:type="dxa"/>
            <w:gridSpan w:val="2"/>
            <w:vAlign w:val="center"/>
          </w:tcPr>
          <w:p w14:paraId="068D76B3">
            <w:pPr>
              <w:pStyle w:val="51"/>
              <w:rPr>
                <w:rFonts w:hint="default"/>
              </w:rPr>
            </w:pPr>
            <w:r>
              <w:t>主题公园</w:t>
            </w:r>
          </w:p>
        </w:tc>
        <w:tc>
          <w:tcPr>
            <w:tcW w:w="2199" w:type="dxa"/>
            <w:vAlign w:val="center"/>
          </w:tcPr>
          <w:p w14:paraId="07D93DA9">
            <w:pPr>
              <w:pStyle w:val="51"/>
              <w:rPr>
                <w:rFonts w:hint="default"/>
              </w:rPr>
            </w:pPr>
            <w:r>
              <w:t>车位/公顷占地面积</w:t>
            </w:r>
          </w:p>
        </w:tc>
        <w:tc>
          <w:tcPr>
            <w:tcW w:w="2390" w:type="dxa"/>
            <w:vAlign w:val="center"/>
          </w:tcPr>
          <w:p w14:paraId="115B0B9E">
            <w:pPr>
              <w:pStyle w:val="51"/>
              <w:rPr>
                <w:rFonts w:hint="default"/>
              </w:rPr>
            </w:pPr>
            <w:r>
              <w:t>3</w:t>
            </w:r>
          </w:p>
        </w:tc>
      </w:tr>
      <w:tr w14:paraId="6D01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52403A89">
            <w:pPr>
              <w:pStyle w:val="51"/>
              <w:rPr>
                <w:rFonts w:hint="default"/>
              </w:rPr>
            </w:pPr>
          </w:p>
        </w:tc>
        <w:tc>
          <w:tcPr>
            <w:tcW w:w="2868" w:type="dxa"/>
            <w:gridSpan w:val="2"/>
            <w:vAlign w:val="center"/>
          </w:tcPr>
          <w:p w14:paraId="428F6ABD">
            <w:pPr>
              <w:pStyle w:val="51"/>
              <w:rPr>
                <w:rFonts w:hint="default"/>
              </w:rPr>
            </w:pPr>
            <w:r>
              <w:t>城市公园</w:t>
            </w:r>
          </w:p>
        </w:tc>
        <w:tc>
          <w:tcPr>
            <w:tcW w:w="2199" w:type="dxa"/>
            <w:vAlign w:val="center"/>
          </w:tcPr>
          <w:p w14:paraId="24F5FE0E">
            <w:pPr>
              <w:pStyle w:val="51"/>
              <w:rPr>
                <w:rFonts w:hint="default"/>
              </w:rPr>
            </w:pPr>
            <w:r>
              <w:t>车位/公顷占地面积</w:t>
            </w:r>
          </w:p>
        </w:tc>
        <w:tc>
          <w:tcPr>
            <w:tcW w:w="2390" w:type="dxa"/>
            <w:vAlign w:val="center"/>
          </w:tcPr>
          <w:p w14:paraId="79FE854A">
            <w:pPr>
              <w:pStyle w:val="51"/>
              <w:rPr>
                <w:rFonts w:hint="default"/>
              </w:rPr>
            </w:pPr>
            <w:r>
              <w:t>2</w:t>
            </w:r>
          </w:p>
        </w:tc>
      </w:tr>
      <w:tr w14:paraId="448C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14:paraId="28C63377">
            <w:pPr>
              <w:pStyle w:val="51"/>
              <w:rPr>
                <w:rFonts w:hint="default"/>
              </w:rPr>
            </w:pPr>
          </w:p>
        </w:tc>
        <w:tc>
          <w:tcPr>
            <w:tcW w:w="2868" w:type="dxa"/>
            <w:gridSpan w:val="2"/>
            <w:vAlign w:val="center"/>
          </w:tcPr>
          <w:p w14:paraId="3E68F236">
            <w:pPr>
              <w:pStyle w:val="51"/>
              <w:rPr>
                <w:rFonts w:hint="default"/>
              </w:rPr>
            </w:pPr>
            <w:r>
              <w:t>旅游区、度假村</w:t>
            </w:r>
          </w:p>
        </w:tc>
        <w:tc>
          <w:tcPr>
            <w:tcW w:w="2199" w:type="dxa"/>
            <w:vAlign w:val="center"/>
          </w:tcPr>
          <w:p w14:paraId="7AAF9CC8">
            <w:pPr>
              <w:pStyle w:val="51"/>
              <w:rPr>
                <w:rFonts w:hint="default"/>
              </w:rPr>
            </w:pPr>
            <w:r>
              <w:t>车位/公顷占地面积</w:t>
            </w:r>
          </w:p>
        </w:tc>
        <w:tc>
          <w:tcPr>
            <w:tcW w:w="2390" w:type="dxa"/>
            <w:vAlign w:val="center"/>
          </w:tcPr>
          <w:p w14:paraId="71CF0AB3">
            <w:pPr>
              <w:pStyle w:val="51"/>
              <w:rPr>
                <w:rFonts w:hint="default"/>
              </w:rPr>
            </w:pPr>
            <w:r>
              <w:t>2</w:t>
            </w:r>
          </w:p>
        </w:tc>
      </w:tr>
      <w:tr w14:paraId="7D2598B9">
        <w:tblPrEx>
          <w:tblCellMar>
            <w:top w:w="0" w:type="dxa"/>
            <w:left w:w="108" w:type="dxa"/>
            <w:bottom w:w="0" w:type="dxa"/>
            <w:right w:w="108" w:type="dxa"/>
          </w:tblCellMar>
        </w:tblPrEx>
        <w:trPr>
          <w:trHeight w:val="20" w:hRule="atLeast"/>
          <w:jc w:val="center"/>
        </w:trPr>
        <w:tc>
          <w:tcPr>
            <w:tcW w:w="3933" w:type="dxa"/>
            <w:gridSpan w:val="3"/>
            <w:vAlign w:val="center"/>
          </w:tcPr>
          <w:p w14:paraId="7DE452CB">
            <w:pPr>
              <w:pStyle w:val="51"/>
              <w:rPr>
                <w:rFonts w:hint="default"/>
              </w:rPr>
            </w:pPr>
            <w:r>
              <w:t>工业</w:t>
            </w:r>
          </w:p>
        </w:tc>
        <w:tc>
          <w:tcPr>
            <w:tcW w:w="2199" w:type="dxa"/>
            <w:vAlign w:val="center"/>
          </w:tcPr>
          <w:p w14:paraId="69AA945B">
            <w:pPr>
              <w:pStyle w:val="51"/>
              <w:rPr>
                <w:rFonts w:hint="default"/>
              </w:rPr>
            </w:pPr>
            <w:r>
              <w:t>车位/100㎡建筑面积</w:t>
            </w:r>
          </w:p>
        </w:tc>
        <w:tc>
          <w:tcPr>
            <w:tcW w:w="2390" w:type="dxa"/>
            <w:vAlign w:val="center"/>
          </w:tcPr>
          <w:p w14:paraId="54239F7F">
            <w:pPr>
              <w:pStyle w:val="51"/>
              <w:rPr>
                <w:rFonts w:hint="default"/>
              </w:rPr>
            </w:pPr>
            <w:r>
              <w:t>1</w:t>
            </w:r>
          </w:p>
        </w:tc>
      </w:tr>
      <w:tr w14:paraId="0BAB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14:paraId="48D344ED">
            <w:pPr>
              <w:pStyle w:val="51"/>
              <w:rPr>
                <w:rFonts w:hint="default"/>
              </w:rPr>
            </w:pPr>
            <w:r>
              <w:t>物流仓储</w:t>
            </w:r>
          </w:p>
        </w:tc>
        <w:tc>
          <w:tcPr>
            <w:tcW w:w="2199" w:type="dxa"/>
            <w:vAlign w:val="center"/>
          </w:tcPr>
          <w:p w14:paraId="75A60569">
            <w:pPr>
              <w:pStyle w:val="51"/>
              <w:rPr>
                <w:rFonts w:hint="default"/>
              </w:rPr>
            </w:pPr>
            <w:r>
              <w:t>车位/100㎡建筑面积</w:t>
            </w:r>
          </w:p>
        </w:tc>
        <w:tc>
          <w:tcPr>
            <w:tcW w:w="2390" w:type="dxa"/>
            <w:vAlign w:val="center"/>
          </w:tcPr>
          <w:p w14:paraId="43F52905">
            <w:pPr>
              <w:pStyle w:val="51"/>
              <w:rPr>
                <w:rFonts w:hint="default"/>
              </w:rPr>
            </w:pPr>
            <w:r>
              <w:t>2</w:t>
            </w:r>
          </w:p>
        </w:tc>
      </w:tr>
    </w:tbl>
    <w:p w14:paraId="30B1B536">
      <w:pPr>
        <w:ind w:firstLine="560"/>
        <w:rPr>
          <w:sz w:val="28"/>
          <w:szCs w:val="22"/>
        </w:rPr>
      </w:pPr>
      <w:r>
        <w:rPr>
          <w:rFonts w:hint="eastAsia"/>
          <w:sz w:val="28"/>
          <w:szCs w:val="22"/>
        </w:rPr>
        <w:t>注：①地上电动自行车停车位面积不小于2.2平方米/个（2米</w:t>
      </w:r>
      <w:r>
        <w:rPr>
          <w:sz w:val="28"/>
          <w:szCs w:val="22"/>
        </w:rPr>
        <w:t>×</w:t>
      </w:r>
      <w:r>
        <w:rPr>
          <w:rFonts w:hint="eastAsia"/>
          <w:sz w:val="28"/>
          <w:szCs w:val="22"/>
        </w:rPr>
        <w:t>1.1米），地上自行车停车位面积不少于1.2平方米/位；地下电动自行车停车位面积不少于3.5平方米/个，地下自行车停车位面积不少于1.5平方米/位。</w:t>
      </w:r>
    </w:p>
    <w:p w14:paraId="4BF0243C">
      <w:pPr>
        <w:ind w:firstLine="560"/>
        <w:rPr>
          <w:sz w:val="28"/>
          <w:szCs w:val="22"/>
        </w:rPr>
      </w:pPr>
      <w:r>
        <w:rPr>
          <w:rFonts w:hint="eastAsia"/>
          <w:sz w:val="28"/>
          <w:szCs w:val="22"/>
        </w:rPr>
        <w:t>②住宅类建设项目应配套不少于80%的电动自行车停车位，且电动自行车停车位应100%预留配套充电设施建设条件；电动自行车地下停车率不低于80%；地下非机动车库与地面交通联系应采用坡道方式出入。</w:t>
      </w:r>
    </w:p>
    <w:p w14:paraId="624CE5C5">
      <w:pPr>
        <w:ind w:firstLine="560"/>
        <w:rPr>
          <w:sz w:val="28"/>
          <w:szCs w:val="22"/>
        </w:rPr>
      </w:pPr>
      <w:r>
        <w:rPr>
          <w:rFonts w:hint="eastAsia"/>
          <w:sz w:val="28"/>
          <w:szCs w:val="22"/>
        </w:rPr>
        <w:t>③工业类建设项目非机动车停车位不少于1.0车位</w:t>
      </w:r>
      <w:r>
        <w:rPr>
          <w:sz w:val="28"/>
          <w:szCs w:val="22"/>
        </w:rPr>
        <w:t>/100m²</w:t>
      </w:r>
      <w:r>
        <w:rPr>
          <w:rFonts w:hint="eastAsia"/>
          <w:sz w:val="28"/>
          <w:szCs w:val="22"/>
        </w:rPr>
        <w:t>建筑面积，层高有特殊要求的工业用地项目，可以按照单倍计算容积率建筑面积配置停车泊位。工业、仓储用地中办公、科研、宿舍等配套服务设施停车配套标准参照对应建筑使用性质确定。支持工业类建设项目按企业职工</w:t>
      </w:r>
      <w:r>
        <w:rPr>
          <w:rFonts w:hint="eastAsia"/>
          <w:sz w:val="28"/>
          <w:szCs w:val="22"/>
          <w:lang w:eastAsia="zh-CN"/>
        </w:rPr>
        <w:t>实际</w:t>
      </w:r>
      <w:r>
        <w:rPr>
          <w:rFonts w:hint="eastAsia"/>
          <w:sz w:val="28"/>
          <w:szCs w:val="22"/>
        </w:rPr>
        <w:t>停车需求配置停车泊位。</w:t>
      </w:r>
    </w:p>
    <w:p w14:paraId="5A67AB8A">
      <w:pPr>
        <w:pStyle w:val="51"/>
        <w:spacing w:beforeLines="100"/>
        <w:rPr>
          <w:rFonts w:hint="default"/>
        </w:rPr>
      </w:pPr>
      <w:r>
        <w:t>表8 其他车型折合成小型车车位或者自行车车位的换算值</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21"/>
        <w:gridCol w:w="3021"/>
      </w:tblGrid>
      <w:tr w14:paraId="3E2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40" w:type="dxa"/>
            <w:gridSpan w:val="2"/>
            <w:vAlign w:val="center"/>
          </w:tcPr>
          <w:p w14:paraId="27567A68">
            <w:pPr>
              <w:pStyle w:val="51"/>
              <w:rPr>
                <w:rFonts w:hint="default"/>
              </w:rPr>
            </w:pPr>
            <w:r>
              <w:t>车型</w:t>
            </w:r>
          </w:p>
        </w:tc>
        <w:tc>
          <w:tcPr>
            <w:tcW w:w="3021" w:type="dxa"/>
            <w:vAlign w:val="center"/>
          </w:tcPr>
          <w:p w14:paraId="3D4F184F">
            <w:pPr>
              <w:pStyle w:val="51"/>
              <w:rPr>
                <w:rFonts w:hint="default"/>
              </w:rPr>
            </w:pPr>
            <w:r>
              <w:t>车位换算值</w:t>
            </w:r>
          </w:p>
        </w:tc>
      </w:tr>
      <w:tr w14:paraId="10C1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restart"/>
            <w:vAlign w:val="center"/>
          </w:tcPr>
          <w:p w14:paraId="76198D5D">
            <w:pPr>
              <w:pStyle w:val="51"/>
              <w:rPr>
                <w:rFonts w:hint="default"/>
              </w:rPr>
            </w:pPr>
            <w:r>
              <w:t>机动车</w:t>
            </w:r>
          </w:p>
        </w:tc>
        <w:tc>
          <w:tcPr>
            <w:tcW w:w="3021" w:type="dxa"/>
            <w:vAlign w:val="center"/>
          </w:tcPr>
          <w:p w14:paraId="5EA97BAC">
            <w:pPr>
              <w:pStyle w:val="51"/>
              <w:rPr>
                <w:rFonts w:hint="default"/>
              </w:rPr>
            </w:pPr>
            <w:r>
              <w:t>两轮摩托车</w:t>
            </w:r>
          </w:p>
        </w:tc>
        <w:tc>
          <w:tcPr>
            <w:tcW w:w="3021" w:type="dxa"/>
            <w:vAlign w:val="center"/>
          </w:tcPr>
          <w:p w14:paraId="1DFD67C9">
            <w:pPr>
              <w:pStyle w:val="51"/>
              <w:rPr>
                <w:rFonts w:hint="default"/>
              </w:rPr>
            </w:pPr>
            <w:r>
              <w:t>0.4</w:t>
            </w:r>
          </w:p>
        </w:tc>
      </w:tr>
      <w:tr w14:paraId="73A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3AD4D6B1">
            <w:pPr>
              <w:pStyle w:val="51"/>
              <w:rPr>
                <w:rFonts w:hint="default"/>
              </w:rPr>
            </w:pPr>
          </w:p>
        </w:tc>
        <w:tc>
          <w:tcPr>
            <w:tcW w:w="3021" w:type="dxa"/>
            <w:vAlign w:val="center"/>
          </w:tcPr>
          <w:p w14:paraId="4E6A7FC3">
            <w:pPr>
              <w:pStyle w:val="51"/>
              <w:rPr>
                <w:rFonts w:hint="default"/>
              </w:rPr>
            </w:pPr>
            <w:r>
              <w:t>三轮摩托车</w:t>
            </w:r>
          </w:p>
        </w:tc>
        <w:tc>
          <w:tcPr>
            <w:tcW w:w="3021" w:type="dxa"/>
            <w:vAlign w:val="center"/>
          </w:tcPr>
          <w:p w14:paraId="4A2B23F1">
            <w:pPr>
              <w:pStyle w:val="51"/>
              <w:rPr>
                <w:rFonts w:hint="default"/>
              </w:rPr>
            </w:pPr>
            <w:r>
              <w:t>0.6</w:t>
            </w:r>
          </w:p>
        </w:tc>
      </w:tr>
      <w:tr w14:paraId="0097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4285AB1F">
            <w:pPr>
              <w:pStyle w:val="51"/>
              <w:rPr>
                <w:rFonts w:hint="default"/>
              </w:rPr>
            </w:pPr>
          </w:p>
        </w:tc>
        <w:tc>
          <w:tcPr>
            <w:tcW w:w="3021" w:type="dxa"/>
            <w:vAlign w:val="center"/>
          </w:tcPr>
          <w:p w14:paraId="76CC3C8D">
            <w:pPr>
              <w:pStyle w:val="51"/>
              <w:rPr>
                <w:rFonts w:hint="default"/>
              </w:rPr>
            </w:pPr>
            <w:r>
              <w:t>微型车</w:t>
            </w:r>
          </w:p>
        </w:tc>
        <w:tc>
          <w:tcPr>
            <w:tcW w:w="3021" w:type="dxa"/>
            <w:vAlign w:val="center"/>
          </w:tcPr>
          <w:p w14:paraId="4512979B">
            <w:pPr>
              <w:pStyle w:val="51"/>
              <w:rPr>
                <w:rFonts w:hint="default"/>
              </w:rPr>
            </w:pPr>
            <w:r>
              <w:t>0.7</w:t>
            </w:r>
          </w:p>
        </w:tc>
      </w:tr>
      <w:tr w14:paraId="2E32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7C642F6C">
            <w:pPr>
              <w:pStyle w:val="51"/>
              <w:rPr>
                <w:rFonts w:hint="default"/>
              </w:rPr>
            </w:pPr>
          </w:p>
        </w:tc>
        <w:tc>
          <w:tcPr>
            <w:tcW w:w="3021" w:type="dxa"/>
            <w:vAlign w:val="center"/>
          </w:tcPr>
          <w:p w14:paraId="4D0D14C0">
            <w:pPr>
              <w:pStyle w:val="51"/>
              <w:rPr>
                <w:rFonts w:hint="default"/>
              </w:rPr>
            </w:pPr>
            <w:r>
              <w:t>小型车</w:t>
            </w:r>
          </w:p>
        </w:tc>
        <w:tc>
          <w:tcPr>
            <w:tcW w:w="3021" w:type="dxa"/>
            <w:vAlign w:val="center"/>
          </w:tcPr>
          <w:p w14:paraId="09B2C5F6">
            <w:pPr>
              <w:pStyle w:val="51"/>
              <w:rPr>
                <w:rFonts w:hint="default"/>
              </w:rPr>
            </w:pPr>
            <w:r>
              <w:t>1</w:t>
            </w:r>
          </w:p>
        </w:tc>
      </w:tr>
      <w:tr w14:paraId="1ECF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08049F98">
            <w:pPr>
              <w:pStyle w:val="51"/>
              <w:rPr>
                <w:rFonts w:hint="default"/>
              </w:rPr>
            </w:pPr>
          </w:p>
        </w:tc>
        <w:tc>
          <w:tcPr>
            <w:tcW w:w="3021" w:type="dxa"/>
            <w:vAlign w:val="center"/>
          </w:tcPr>
          <w:p w14:paraId="09F40B74">
            <w:pPr>
              <w:pStyle w:val="51"/>
              <w:rPr>
                <w:rFonts w:hint="default"/>
              </w:rPr>
            </w:pPr>
            <w:r>
              <w:t>轻型车</w:t>
            </w:r>
          </w:p>
        </w:tc>
        <w:tc>
          <w:tcPr>
            <w:tcW w:w="3021" w:type="dxa"/>
            <w:vAlign w:val="center"/>
          </w:tcPr>
          <w:p w14:paraId="482BA0D3">
            <w:pPr>
              <w:pStyle w:val="51"/>
              <w:rPr>
                <w:rFonts w:hint="default"/>
              </w:rPr>
            </w:pPr>
            <w:r>
              <w:t>1.5</w:t>
            </w:r>
          </w:p>
        </w:tc>
      </w:tr>
      <w:tr w14:paraId="40D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6C3B3B22">
            <w:pPr>
              <w:pStyle w:val="51"/>
              <w:rPr>
                <w:rFonts w:hint="default"/>
              </w:rPr>
            </w:pPr>
          </w:p>
        </w:tc>
        <w:tc>
          <w:tcPr>
            <w:tcW w:w="3021" w:type="dxa"/>
            <w:vAlign w:val="center"/>
          </w:tcPr>
          <w:p w14:paraId="6461CD65">
            <w:pPr>
              <w:pStyle w:val="51"/>
              <w:rPr>
                <w:rFonts w:hint="default"/>
              </w:rPr>
            </w:pPr>
            <w:r>
              <w:t>中型车</w:t>
            </w:r>
          </w:p>
        </w:tc>
        <w:tc>
          <w:tcPr>
            <w:tcW w:w="3021" w:type="dxa"/>
            <w:vAlign w:val="center"/>
          </w:tcPr>
          <w:p w14:paraId="52DA3454">
            <w:pPr>
              <w:pStyle w:val="51"/>
              <w:rPr>
                <w:rFonts w:hint="default"/>
              </w:rPr>
            </w:pPr>
            <w:r>
              <w:t>2</w:t>
            </w:r>
          </w:p>
        </w:tc>
      </w:tr>
      <w:tr w14:paraId="4D1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397A01EA">
            <w:pPr>
              <w:pStyle w:val="51"/>
              <w:rPr>
                <w:rFonts w:hint="default"/>
              </w:rPr>
            </w:pPr>
          </w:p>
        </w:tc>
        <w:tc>
          <w:tcPr>
            <w:tcW w:w="3021" w:type="dxa"/>
            <w:vAlign w:val="center"/>
          </w:tcPr>
          <w:p w14:paraId="2DC50640">
            <w:pPr>
              <w:pStyle w:val="51"/>
              <w:rPr>
                <w:rFonts w:hint="default"/>
              </w:rPr>
            </w:pPr>
            <w:r>
              <w:t>大型车</w:t>
            </w:r>
          </w:p>
        </w:tc>
        <w:tc>
          <w:tcPr>
            <w:tcW w:w="3021" w:type="dxa"/>
            <w:vAlign w:val="center"/>
          </w:tcPr>
          <w:p w14:paraId="0131B48C">
            <w:pPr>
              <w:pStyle w:val="51"/>
              <w:rPr>
                <w:rFonts w:hint="default"/>
              </w:rPr>
            </w:pPr>
            <w:r>
              <w:t>2.5</w:t>
            </w:r>
          </w:p>
        </w:tc>
      </w:tr>
      <w:tr w14:paraId="4D57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60739722">
            <w:pPr>
              <w:pStyle w:val="51"/>
              <w:rPr>
                <w:rFonts w:hint="default"/>
              </w:rPr>
            </w:pPr>
          </w:p>
        </w:tc>
        <w:tc>
          <w:tcPr>
            <w:tcW w:w="3021" w:type="dxa"/>
            <w:vAlign w:val="center"/>
          </w:tcPr>
          <w:p w14:paraId="1E516046">
            <w:pPr>
              <w:pStyle w:val="51"/>
              <w:rPr>
                <w:rFonts w:hint="default"/>
              </w:rPr>
            </w:pPr>
            <w:r>
              <w:t>铰接车</w:t>
            </w:r>
          </w:p>
        </w:tc>
        <w:tc>
          <w:tcPr>
            <w:tcW w:w="3021" w:type="dxa"/>
            <w:vAlign w:val="center"/>
          </w:tcPr>
          <w:p w14:paraId="70F1600B">
            <w:pPr>
              <w:pStyle w:val="51"/>
              <w:rPr>
                <w:rFonts w:hint="default"/>
              </w:rPr>
            </w:pPr>
            <w:r>
              <w:t>4</w:t>
            </w:r>
          </w:p>
        </w:tc>
      </w:tr>
      <w:tr w14:paraId="3A70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restart"/>
            <w:vAlign w:val="center"/>
          </w:tcPr>
          <w:p w14:paraId="4698CB37">
            <w:pPr>
              <w:pStyle w:val="51"/>
              <w:rPr>
                <w:rFonts w:hint="default"/>
              </w:rPr>
            </w:pPr>
            <w:r>
              <w:t>非机动车</w:t>
            </w:r>
          </w:p>
        </w:tc>
        <w:tc>
          <w:tcPr>
            <w:tcW w:w="3021" w:type="dxa"/>
            <w:shd w:val="clear" w:color="auto" w:fill="auto"/>
            <w:vAlign w:val="center"/>
          </w:tcPr>
          <w:p w14:paraId="164C81CF">
            <w:pPr>
              <w:pStyle w:val="51"/>
              <w:rPr>
                <w:rFonts w:hint="default"/>
              </w:rPr>
            </w:pPr>
            <w:r>
              <w:t>自行车</w:t>
            </w:r>
          </w:p>
        </w:tc>
        <w:tc>
          <w:tcPr>
            <w:tcW w:w="3021" w:type="dxa"/>
            <w:shd w:val="clear" w:color="auto" w:fill="auto"/>
            <w:vAlign w:val="center"/>
          </w:tcPr>
          <w:p w14:paraId="66F6A6B9">
            <w:pPr>
              <w:pStyle w:val="51"/>
              <w:rPr>
                <w:rFonts w:hint="default"/>
              </w:rPr>
            </w:pPr>
            <w:r>
              <w:t>1</w:t>
            </w:r>
          </w:p>
        </w:tc>
      </w:tr>
      <w:tr w14:paraId="004C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50E02D33">
            <w:pPr>
              <w:pStyle w:val="51"/>
              <w:rPr>
                <w:rFonts w:hint="default"/>
              </w:rPr>
            </w:pPr>
          </w:p>
        </w:tc>
        <w:tc>
          <w:tcPr>
            <w:tcW w:w="3021" w:type="dxa"/>
            <w:shd w:val="clear" w:color="auto" w:fill="auto"/>
            <w:vAlign w:val="center"/>
          </w:tcPr>
          <w:p w14:paraId="52E2B964">
            <w:pPr>
              <w:pStyle w:val="51"/>
              <w:rPr>
                <w:rFonts w:hint="default"/>
              </w:rPr>
            </w:pPr>
            <w:r>
              <w:t>三轮车</w:t>
            </w:r>
          </w:p>
        </w:tc>
        <w:tc>
          <w:tcPr>
            <w:tcW w:w="3021" w:type="dxa"/>
            <w:shd w:val="clear" w:color="auto" w:fill="auto"/>
            <w:vAlign w:val="center"/>
          </w:tcPr>
          <w:p w14:paraId="2DE8A395">
            <w:pPr>
              <w:pStyle w:val="51"/>
              <w:rPr>
                <w:rFonts w:hint="default"/>
              </w:rPr>
            </w:pPr>
            <w:r>
              <w:t>3</w:t>
            </w:r>
          </w:p>
        </w:tc>
      </w:tr>
      <w:tr w14:paraId="7E90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11CC9A8F">
            <w:pPr>
              <w:pStyle w:val="51"/>
              <w:rPr>
                <w:rFonts w:hint="default"/>
              </w:rPr>
            </w:pPr>
          </w:p>
        </w:tc>
        <w:tc>
          <w:tcPr>
            <w:tcW w:w="3021" w:type="dxa"/>
            <w:shd w:val="clear" w:color="auto" w:fill="auto"/>
            <w:vAlign w:val="center"/>
          </w:tcPr>
          <w:p w14:paraId="7ECED290">
            <w:pPr>
              <w:pStyle w:val="51"/>
              <w:rPr>
                <w:rFonts w:hint="default"/>
              </w:rPr>
            </w:pPr>
            <w:r>
              <w:t>电动自行车</w:t>
            </w:r>
          </w:p>
        </w:tc>
        <w:tc>
          <w:tcPr>
            <w:tcW w:w="3021" w:type="dxa"/>
            <w:shd w:val="clear" w:color="auto" w:fill="auto"/>
            <w:vAlign w:val="center"/>
          </w:tcPr>
          <w:p w14:paraId="558EC637">
            <w:pPr>
              <w:pStyle w:val="51"/>
              <w:rPr>
                <w:rFonts w:hint="default"/>
              </w:rPr>
            </w:pPr>
            <w:r>
              <w:t>1.2</w:t>
            </w:r>
          </w:p>
        </w:tc>
      </w:tr>
      <w:tr w14:paraId="5424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14:paraId="499316D9">
            <w:pPr>
              <w:pStyle w:val="51"/>
              <w:rPr>
                <w:rFonts w:hint="default"/>
              </w:rPr>
            </w:pPr>
          </w:p>
        </w:tc>
        <w:tc>
          <w:tcPr>
            <w:tcW w:w="3021" w:type="dxa"/>
            <w:shd w:val="clear" w:color="auto" w:fill="auto"/>
            <w:vAlign w:val="center"/>
          </w:tcPr>
          <w:p w14:paraId="7DFC4604">
            <w:pPr>
              <w:pStyle w:val="51"/>
              <w:rPr>
                <w:rFonts w:hint="default"/>
              </w:rPr>
            </w:pPr>
            <w:r>
              <w:t>机动轮椅车</w:t>
            </w:r>
          </w:p>
        </w:tc>
        <w:tc>
          <w:tcPr>
            <w:tcW w:w="3021" w:type="dxa"/>
            <w:shd w:val="clear" w:color="auto" w:fill="auto"/>
            <w:vAlign w:val="center"/>
          </w:tcPr>
          <w:p w14:paraId="6FD9EA39">
            <w:pPr>
              <w:pStyle w:val="51"/>
              <w:rPr>
                <w:rFonts w:hint="default"/>
              </w:rPr>
            </w:pPr>
            <w:r>
              <w:t>1.5</w:t>
            </w:r>
          </w:p>
        </w:tc>
      </w:tr>
    </w:tbl>
    <w:p w14:paraId="3876CE14">
      <w:pPr>
        <w:numPr>
          <w:ilvl w:val="0"/>
          <w:numId w:val="3"/>
        </w:numPr>
        <w:spacing w:before="160" w:after="160"/>
        <w:ind w:firstLine="640"/>
      </w:pPr>
      <w:r>
        <w:rPr>
          <w:rFonts w:hint="eastAsia"/>
        </w:rPr>
        <w:t>机动车停车场（库）出入口设置应当符合以下规定：</w:t>
      </w:r>
    </w:p>
    <w:p w14:paraId="3C3FEEFC">
      <w:pPr>
        <w:spacing w:before="160" w:after="160"/>
        <w:ind w:firstLine="640"/>
      </w:pPr>
      <w:r>
        <w:rPr>
          <w:rFonts w:hint="eastAsia"/>
        </w:rPr>
        <w:t>1</w:t>
      </w:r>
      <w:r>
        <w:rPr>
          <w:rFonts w:hint="eastAsia" w:ascii="宋体" w:hAnsi="宋体" w:eastAsia="宋体" w:cs="宋体"/>
        </w:rPr>
        <w:t>.</w:t>
      </w:r>
      <w:r>
        <w:rPr>
          <w:rFonts w:hint="eastAsia"/>
        </w:rPr>
        <w:t>建设项目配置的机动车停车场（库）出入口不宜直接与城市道路连接，宜设置在项目内部道路上。</w:t>
      </w:r>
    </w:p>
    <w:p w14:paraId="76DF8D47">
      <w:pPr>
        <w:spacing w:before="160" w:after="160"/>
        <w:ind w:firstLine="640"/>
      </w:pPr>
      <w:r>
        <w:rPr>
          <w:rFonts w:hint="eastAsia"/>
        </w:rPr>
        <w:t>2</w:t>
      </w:r>
      <w:r>
        <w:rPr>
          <w:rFonts w:hint="eastAsia" w:ascii="宋体" w:hAnsi="宋体" w:eastAsia="宋体" w:cs="宋体"/>
        </w:rPr>
        <w:t>.</w:t>
      </w:r>
      <w:r>
        <w:rPr>
          <w:rFonts w:hint="eastAsia"/>
        </w:rPr>
        <w:t>建设项目配置的机动车停车场（库）出入口距城市道路的规划红线不应小于7.5米；平行城市道路或与城市道路斜交时，坡道终点应后退基地的出入口不小于5米，转弯半径不小于7米；建设项目基地内机动车出入口之间的净距应大于15米。</w:t>
      </w:r>
    </w:p>
    <w:p w14:paraId="75C82536">
      <w:pPr>
        <w:spacing w:before="160" w:after="160"/>
        <w:ind w:firstLine="640"/>
      </w:pPr>
      <w:r>
        <w:rPr>
          <w:rFonts w:hint="eastAsia"/>
        </w:rPr>
        <w:t>3</w:t>
      </w:r>
      <w:r>
        <w:rPr>
          <w:rFonts w:hint="eastAsia" w:ascii="宋体" w:hAnsi="宋体" w:eastAsia="宋体" w:cs="宋体"/>
        </w:rPr>
        <w:t>.</w:t>
      </w:r>
      <w:r>
        <w:rPr>
          <w:rFonts w:hint="eastAsia"/>
        </w:rPr>
        <w:t>机动车停车场（库）出入口和车道数量应符合表9的规定，且当车道数量大于等于5且停车当量大于3000 辆时，出入口数量应经过交通模拟计算确定。</w:t>
      </w:r>
    </w:p>
    <w:p w14:paraId="42808AD8">
      <w:pPr>
        <w:pStyle w:val="51"/>
        <w:spacing w:beforeLines="100"/>
        <w:rPr>
          <w:rFonts w:hint="default"/>
        </w:rPr>
      </w:pPr>
      <w:r>
        <w:t>表9机动车停车场（库）出入口和车道数量要求</w:t>
      </w:r>
    </w:p>
    <w:tbl>
      <w:tblPr>
        <w:tblStyle w:val="21"/>
        <w:tblW w:w="0" w:type="auto"/>
        <w:tblInd w:w="0" w:type="dxa"/>
        <w:tblLayout w:type="fixed"/>
        <w:tblCellMar>
          <w:top w:w="0" w:type="dxa"/>
          <w:left w:w="0" w:type="dxa"/>
          <w:bottom w:w="0" w:type="dxa"/>
          <w:right w:w="0" w:type="dxa"/>
        </w:tblCellMar>
      </w:tblPr>
      <w:tblGrid>
        <w:gridCol w:w="2542"/>
        <w:gridCol w:w="1036"/>
        <w:gridCol w:w="818"/>
        <w:gridCol w:w="832"/>
        <w:gridCol w:w="927"/>
        <w:gridCol w:w="818"/>
        <w:gridCol w:w="819"/>
        <w:gridCol w:w="730"/>
      </w:tblGrid>
      <w:tr w14:paraId="5E55482E">
        <w:tblPrEx>
          <w:tblCellMar>
            <w:top w:w="0" w:type="dxa"/>
            <w:left w:w="0" w:type="dxa"/>
            <w:bottom w:w="0" w:type="dxa"/>
            <w:right w:w="0" w:type="dxa"/>
          </w:tblCellMar>
        </w:tblPrEx>
        <w:trPr>
          <w:trHeight w:val="801" w:hRule="atLeast"/>
        </w:trPr>
        <w:tc>
          <w:tcPr>
            <w:tcW w:w="254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222A7D9">
            <w:pPr>
              <w:spacing w:line="360" w:lineRule="auto"/>
              <w:ind w:firstLine="0" w:firstLineChars="0"/>
              <w:jc w:val="right"/>
              <w:rPr>
                <w:rFonts w:ascii="仿宋" w:hAnsi="仿宋" w:eastAsia="仿宋" w:cs="仿宋"/>
                <w:b/>
                <w:bCs/>
                <w:sz w:val="28"/>
                <w:szCs w:val="28"/>
              </w:rPr>
            </w:pPr>
            <w:r>
              <w:rPr>
                <w:sz w:val="28"/>
              </w:rPr>
              <w:pict>
                <v:line id="_x0000_s2075" o:spid="_x0000_s2075" o:spt="20" style="position:absolute;left:0pt;flip:x y;margin-left:-5.45pt;margin-top:-0.3pt;height:112.35pt;width:127.5pt;z-index:251739136;mso-width-relative:page;mso-height-relative:page;" stroked="t" coordsize="21600,21600" o:gfxdata="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Q2E1wAAAAkBAAAPAAAAAAAAAAEAIAAAACIAAABkcnMvZG93bnJldi54bWxQ&#10;SwECFAAUAAAACACHTuJAnT0mGPgBAADPAwAADgAAAAAAAAABACAAAAAmAQAAZHJzL2Uyb0RvYy54&#10;bWxQSwUGAAAAAAYABgBZAQAAkAUAAAAA&#10;">
                  <v:path arrowok="t"/>
                  <v:fill focussize="0,0"/>
                  <v:stroke weight="0.25pt" color="#000000" joinstyle="miter"/>
                  <v:imagedata o:title=""/>
                  <o:lock v:ext="edit"/>
                </v:line>
              </w:pict>
            </w:r>
            <w:r>
              <w:rPr>
                <w:sz w:val="28"/>
              </w:rPr>
              <w:pict>
                <v:line id="_x0000_s2074" o:spid="_x0000_s2074" o:spt="20" style="position:absolute;left:0pt;flip:x y;margin-left:-4.1pt;margin-top:0.4pt;height:43.95pt;width:127.25pt;z-index:251738112;mso-width-relative:page;mso-height-relative:page;" stroked="t" coordsize="21600,21600" o:gfxdata="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H1PZ1QAAAAYBAAAPAAAAAAAAAAEAIAAAACIAAABkcnMvZG93bnJldi54bWxQSwECFAAU&#10;AAAACACHTuJAYnEJI/QBAADOAwAADgAAAAAAAAABACAAAAAkAQAAZHJzL2Uyb0RvYy54bWxQSwUG&#10;AAAAAAYABgBZAQAAigUAAAAA&#10;">
                  <v:path arrowok="t"/>
                  <v:fill focussize="0,0"/>
                  <v:stroke weight="0.25pt" color="#000000" joinstyle="miter"/>
                  <v:imagedata o:title=""/>
                  <o:lock v:ext="edit"/>
                </v:line>
              </w:pict>
            </w:r>
            <w:r>
              <w:rPr>
                <w:sz w:val="28"/>
                <w:szCs w:val="28"/>
              </w:rPr>
              <w:pict>
                <v:shape id="_x0000_s2073" o:spid="_x0000_s2073" o:spt="202" type="#_x0000_t202" style="position:absolute;left:0pt;margin-left:72.5pt;margin-top:1.75pt;height:26pt;width:47.05pt;z-index:251735040;mso-width-relative:page;mso-height-relative:page;" filled="f" stroked="f" coordsize="21600,21600" o:gfxdata="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OSe7i2QAAAAgBAAAPAAAAAAAAAAEA&#10;IAAAACIAAABkcnMvZG93bnJldi54bWxQSwECFAAUAAAACACHTuJAsz5g2EcCAAB1BAAADgAAAAAA&#10;AAABACAAAAAoAQAAZHJzL2Uyb0RvYy54bWxQSwUGAAAAAAYABgBZAQAA4QUAAAAA&#10;">
                  <v:path/>
                  <v:fill on="f" focussize="0,0"/>
                  <v:stroke on="f" weight="0.5pt" joinstyle="miter"/>
                  <v:imagedata o:title=""/>
                  <o:lock v:ext="edit"/>
                  <v:textbox>
                    <w:txbxContent>
                      <w:p w14:paraId="24CF00D2">
                        <w:pPr>
                          <w:spacing w:line="240" w:lineRule="auto"/>
                          <w:ind w:firstLine="0" w:firstLineChars="0"/>
                          <w:rPr>
                            <w:sz w:val="28"/>
                            <w:szCs w:val="22"/>
                          </w:rPr>
                        </w:pPr>
                        <w:r>
                          <w:rPr>
                            <w:rFonts w:hint="eastAsia"/>
                            <w:sz w:val="28"/>
                            <w:szCs w:val="22"/>
                          </w:rPr>
                          <w:t>规模</w:t>
                        </w:r>
                      </w:p>
                    </w:txbxContent>
                  </v:textbox>
                </v:shape>
              </w:pict>
            </w:r>
          </w:p>
          <w:p w14:paraId="7782E459">
            <w:pPr>
              <w:spacing w:line="360" w:lineRule="auto"/>
              <w:ind w:firstLine="0" w:firstLineChars="0"/>
              <w:jc w:val="center"/>
              <w:rPr>
                <w:rFonts w:ascii="仿宋" w:hAnsi="仿宋" w:eastAsia="仿宋" w:cs="仿宋"/>
                <w:b/>
                <w:bCs/>
                <w:sz w:val="28"/>
                <w:szCs w:val="28"/>
              </w:rPr>
            </w:pPr>
            <w:r>
              <w:rPr>
                <w:sz w:val="28"/>
                <w:szCs w:val="28"/>
              </w:rPr>
              <w:pict>
                <v:shape id="_x0000_s2072" o:spid="_x0000_s2072" o:spt="202" type="#_x0000_t202" style="position:absolute;left:0pt;margin-left:67.45pt;margin-top:5.7pt;height:50.55pt;width:73.65pt;z-index:251736064;mso-width-relative:page;mso-height-relative:page;" filled="f" stroked="f" coordsize="21600,21600" o:gfxdata="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6OOO/aAAAACgEAAA8AAAAAAAAAAQAgAAAAIgAAAGRy&#10;cy9kb3ducmV2LnhtbFBLAQIUABQAAAAIAIdO4kAKcvNLPAIAAGkEAAAOAAAAAAAAAAEAIAAAACkB&#10;AABkcnMvZTJvRG9jLnhtbFBLBQYAAAAABgAGAFkBAADXBQAAAAA=&#10;">
                  <v:path/>
                  <v:fill on="f" focussize="0,0"/>
                  <v:stroke on="f" weight="0.5pt" joinstyle="miter"/>
                  <v:imagedata o:title=""/>
                  <o:lock v:ext="edit"/>
                  <v:textbox>
                    <w:txbxContent>
                      <w:p w14:paraId="438265C9">
                        <w:pPr>
                          <w:spacing w:line="240" w:lineRule="auto"/>
                          <w:ind w:firstLine="0" w:firstLineChars="0"/>
                          <w:rPr>
                            <w:sz w:val="28"/>
                            <w:szCs w:val="22"/>
                          </w:rPr>
                        </w:pPr>
                        <w:r>
                          <w:rPr>
                            <w:rFonts w:hint="eastAsia"/>
                            <w:sz w:val="28"/>
                            <w:szCs w:val="22"/>
                          </w:rPr>
                          <w:t>停车</w:t>
                        </w:r>
                      </w:p>
                      <w:p w14:paraId="0D6064BE">
                        <w:pPr>
                          <w:spacing w:line="240" w:lineRule="auto"/>
                          <w:ind w:firstLine="0" w:firstLineChars="0"/>
                          <w:rPr>
                            <w:sz w:val="28"/>
                            <w:szCs w:val="22"/>
                          </w:rPr>
                        </w:pPr>
                        <w:r>
                          <w:rPr>
                            <w:rFonts w:hint="eastAsia"/>
                            <w:sz w:val="28"/>
                            <w:szCs w:val="22"/>
                          </w:rPr>
                          <w:t>当量</w:t>
                        </w:r>
                      </w:p>
                    </w:txbxContent>
                  </v:textbox>
                </v:shape>
              </w:pict>
            </w:r>
          </w:p>
          <w:p w14:paraId="3F67732C">
            <w:pPr>
              <w:spacing w:line="360" w:lineRule="auto"/>
              <w:ind w:firstLine="0" w:firstLineChars="0"/>
              <w:jc w:val="left"/>
              <w:rPr>
                <w:rFonts w:ascii="仿宋" w:hAnsi="仿宋" w:eastAsia="仿宋" w:cs="仿宋"/>
                <w:b/>
                <w:bCs/>
                <w:sz w:val="28"/>
                <w:szCs w:val="28"/>
              </w:rPr>
            </w:pPr>
            <w:r>
              <w:rPr>
                <w:sz w:val="28"/>
                <w:szCs w:val="28"/>
              </w:rPr>
              <w:pict>
                <v:shape id="_x0000_s2071" o:spid="_x0000_s2071" o:spt="202" type="#_x0000_t202" style="position:absolute;left:0pt;margin-left:-2.4pt;margin-top:5.45pt;height:45.85pt;width:73.65pt;z-index:251737088;mso-width-relative:page;mso-height-relative:page;" filled="f" stroked="f" coordsize="21600,21600" o:gfxdata="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dSibrZAAAACQEAAA8AAAAAAAAAAQAgAAAAIgAAAGRy&#10;cy9kb3ducmV2LnhtbFBLAQIUABQAAAAIAIdO4kDU8nPBPQIAAGkEAAAOAAAAAAAAAAEAIAAAACgB&#10;AABkcnMvZTJvRG9jLnhtbFBLBQYAAAAABgAGAFkBAADXBQAAAAA=&#10;">
                  <v:path/>
                  <v:fill on="f" focussize="0,0"/>
                  <v:stroke on="f" weight="0.5pt" joinstyle="miter"/>
                  <v:imagedata o:title=""/>
                  <o:lock v:ext="edit"/>
                  <v:textbox>
                    <w:txbxContent>
                      <w:p w14:paraId="431C3DC7">
                        <w:pPr>
                          <w:spacing w:line="240" w:lineRule="auto"/>
                          <w:ind w:firstLine="0" w:firstLineChars="0"/>
                          <w:rPr>
                            <w:sz w:val="28"/>
                            <w:szCs w:val="22"/>
                          </w:rPr>
                        </w:pPr>
                        <w:r>
                          <w:rPr>
                            <w:rFonts w:hint="eastAsia"/>
                            <w:sz w:val="28"/>
                            <w:szCs w:val="22"/>
                          </w:rPr>
                          <w:t>出入口和车道数量</w:t>
                        </w:r>
                      </w:p>
                    </w:txbxContent>
                  </v:textbox>
                </v:shape>
              </w:pict>
            </w:r>
          </w:p>
          <w:p w14:paraId="658AA3D0">
            <w:pPr>
              <w:spacing w:line="360" w:lineRule="auto"/>
              <w:ind w:firstLine="0" w:firstLineChars="0"/>
              <w:jc w:val="left"/>
              <w:rPr>
                <w:rFonts w:ascii="仿宋" w:hAnsi="仿宋" w:eastAsia="仿宋" w:cs="仿宋"/>
                <w:b/>
                <w:bCs/>
                <w:sz w:val="28"/>
                <w:szCs w:val="28"/>
              </w:rPr>
            </w:pP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583419">
            <w:pPr>
              <w:spacing w:line="240" w:lineRule="auto"/>
              <w:ind w:firstLine="0" w:firstLineChars="0"/>
              <w:jc w:val="center"/>
              <w:rPr>
                <w:sz w:val="28"/>
                <w:szCs w:val="22"/>
              </w:rPr>
            </w:pPr>
            <w:r>
              <w:rPr>
                <w:rFonts w:hint="eastAsia"/>
                <w:sz w:val="28"/>
                <w:szCs w:val="22"/>
              </w:rPr>
              <w:t>特大型</w:t>
            </w: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8F8E04">
            <w:pPr>
              <w:spacing w:line="240" w:lineRule="auto"/>
              <w:ind w:firstLine="0" w:firstLineChars="0"/>
              <w:jc w:val="center"/>
              <w:rPr>
                <w:sz w:val="28"/>
                <w:szCs w:val="22"/>
              </w:rPr>
            </w:pPr>
            <w:r>
              <w:rPr>
                <w:rFonts w:hint="eastAsia"/>
                <w:sz w:val="28"/>
                <w:szCs w:val="22"/>
              </w:rPr>
              <w:t>大型</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A52C0CF">
            <w:pPr>
              <w:spacing w:line="240" w:lineRule="auto"/>
              <w:ind w:firstLine="0" w:firstLineChars="0"/>
              <w:jc w:val="center"/>
              <w:rPr>
                <w:sz w:val="28"/>
                <w:szCs w:val="22"/>
              </w:rPr>
            </w:pPr>
            <w:r>
              <w:rPr>
                <w:rFonts w:hint="eastAsia"/>
                <w:sz w:val="28"/>
                <w:szCs w:val="22"/>
              </w:rPr>
              <w:t>中型</w:t>
            </w:r>
          </w:p>
        </w:tc>
        <w:tc>
          <w:tcPr>
            <w:tcW w:w="15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00AB8EE">
            <w:pPr>
              <w:spacing w:line="240" w:lineRule="auto"/>
              <w:ind w:firstLine="0" w:firstLineChars="0"/>
              <w:jc w:val="center"/>
              <w:rPr>
                <w:sz w:val="28"/>
                <w:szCs w:val="22"/>
              </w:rPr>
            </w:pPr>
            <w:r>
              <w:rPr>
                <w:rFonts w:hint="eastAsia"/>
                <w:sz w:val="28"/>
                <w:szCs w:val="22"/>
              </w:rPr>
              <w:t>小型</w:t>
            </w:r>
          </w:p>
        </w:tc>
      </w:tr>
      <w:tr w14:paraId="2132FCF5">
        <w:tblPrEx>
          <w:tblCellMar>
            <w:top w:w="0" w:type="dxa"/>
            <w:left w:w="0" w:type="dxa"/>
            <w:bottom w:w="0" w:type="dxa"/>
            <w:right w:w="0" w:type="dxa"/>
          </w:tblCellMar>
        </w:tblPrEx>
        <w:trPr>
          <w:trHeight w:val="444" w:hRule="atLeast"/>
        </w:trPr>
        <w:tc>
          <w:tcPr>
            <w:tcW w:w="25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797048">
            <w:pPr>
              <w:spacing w:line="240" w:lineRule="auto"/>
              <w:ind w:firstLine="0" w:firstLineChars="0"/>
              <w:jc w:val="center"/>
              <w:rPr>
                <w:rFonts w:ascii="仿宋" w:hAnsi="仿宋" w:eastAsia="仿宋" w:cs="仿宋"/>
                <w:b/>
                <w:bCs/>
                <w:sz w:val="28"/>
                <w:szCs w:val="28"/>
              </w:rPr>
            </w:pP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E8B4EF">
            <w:pPr>
              <w:spacing w:line="240" w:lineRule="auto"/>
              <w:ind w:firstLine="0" w:firstLineChars="0"/>
              <w:jc w:val="center"/>
              <w:rPr>
                <w:sz w:val="28"/>
                <w:szCs w:val="22"/>
              </w:rPr>
            </w:pPr>
            <w:r>
              <w:rPr>
                <w:rFonts w:hint="eastAsia"/>
                <w:sz w:val="28"/>
                <w:szCs w:val="22"/>
                <w:lang w:val="zh-CN"/>
              </w:rPr>
              <w:t>&gt;1000</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BB070F">
            <w:pPr>
              <w:spacing w:line="240" w:lineRule="auto"/>
              <w:ind w:firstLine="0" w:firstLineChars="0"/>
              <w:jc w:val="center"/>
              <w:rPr>
                <w:sz w:val="28"/>
                <w:szCs w:val="22"/>
              </w:rPr>
            </w:pPr>
            <w:r>
              <w:rPr>
                <w:rFonts w:hint="eastAsia"/>
                <w:sz w:val="28"/>
                <w:szCs w:val="22"/>
                <w:lang w:val="zh-CN"/>
              </w:rPr>
              <w:t>501</w:t>
            </w:r>
            <w:r>
              <w:rPr>
                <w:rFonts w:hint="eastAsia"/>
                <w:sz w:val="28"/>
                <w:szCs w:val="22"/>
              </w:rPr>
              <w:t>-</w:t>
            </w:r>
            <w:r>
              <w:rPr>
                <w:rFonts w:hint="eastAsia"/>
                <w:sz w:val="28"/>
                <w:szCs w:val="22"/>
                <w:lang w:val="zh-CN"/>
              </w:rPr>
              <w:t>1000</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9273C6">
            <w:pPr>
              <w:spacing w:line="240" w:lineRule="auto"/>
              <w:ind w:firstLine="0" w:firstLineChars="0"/>
              <w:jc w:val="center"/>
              <w:rPr>
                <w:sz w:val="28"/>
                <w:szCs w:val="22"/>
              </w:rPr>
            </w:pPr>
            <w:r>
              <w:rPr>
                <w:rFonts w:hint="eastAsia"/>
                <w:sz w:val="28"/>
                <w:szCs w:val="22"/>
                <w:lang w:val="zh-CN"/>
              </w:rPr>
              <w:t>301</w:t>
            </w:r>
            <w:r>
              <w:rPr>
                <w:rFonts w:hint="eastAsia"/>
                <w:sz w:val="28"/>
                <w:szCs w:val="22"/>
              </w:rPr>
              <w:t>-</w:t>
            </w:r>
            <w:r>
              <w:rPr>
                <w:rFonts w:hint="eastAsia"/>
                <w:sz w:val="28"/>
                <w:szCs w:val="22"/>
                <w:lang w:val="zh-CN"/>
              </w:rPr>
              <w:t>500</w:t>
            </w:r>
          </w:p>
        </w:tc>
        <w:tc>
          <w:tcPr>
            <w:tcW w:w="9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14B4EC">
            <w:pPr>
              <w:spacing w:line="240" w:lineRule="auto"/>
              <w:ind w:firstLine="0" w:firstLineChars="0"/>
              <w:jc w:val="center"/>
              <w:rPr>
                <w:sz w:val="28"/>
                <w:szCs w:val="22"/>
              </w:rPr>
            </w:pPr>
            <w:r>
              <w:rPr>
                <w:rFonts w:hint="eastAsia"/>
                <w:sz w:val="28"/>
                <w:szCs w:val="22"/>
                <w:lang w:val="zh-CN"/>
              </w:rPr>
              <w:t>101</w:t>
            </w:r>
            <w:r>
              <w:rPr>
                <w:rFonts w:hint="eastAsia"/>
                <w:sz w:val="28"/>
                <w:szCs w:val="22"/>
              </w:rPr>
              <w:t>-</w:t>
            </w:r>
            <w:r>
              <w:rPr>
                <w:rFonts w:hint="eastAsia"/>
                <w:sz w:val="28"/>
                <w:szCs w:val="22"/>
                <w:lang w:val="zh-CN"/>
              </w:rPr>
              <w:t>300</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9DB7429">
            <w:pPr>
              <w:spacing w:line="240" w:lineRule="auto"/>
              <w:ind w:firstLine="0" w:firstLineChars="0"/>
              <w:jc w:val="center"/>
              <w:rPr>
                <w:sz w:val="28"/>
                <w:szCs w:val="22"/>
              </w:rPr>
            </w:pPr>
            <w:r>
              <w:rPr>
                <w:rFonts w:hint="eastAsia"/>
                <w:sz w:val="28"/>
                <w:szCs w:val="22"/>
                <w:lang w:val="zh-CN"/>
              </w:rPr>
              <w:t>51</w:t>
            </w:r>
            <w:r>
              <w:rPr>
                <w:rFonts w:hint="eastAsia"/>
                <w:sz w:val="28"/>
                <w:szCs w:val="22"/>
              </w:rPr>
              <w:t>-</w:t>
            </w:r>
            <w:r>
              <w:rPr>
                <w:rFonts w:hint="eastAsia"/>
                <w:sz w:val="28"/>
                <w:szCs w:val="22"/>
                <w:lang w:val="zh-CN"/>
              </w:rPr>
              <w:t>100</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971B111">
            <w:pPr>
              <w:spacing w:line="240" w:lineRule="auto"/>
              <w:ind w:firstLine="0" w:firstLineChars="0"/>
              <w:jc w:val="center"/>
              <w:rPr>
                <w:sz w:val="28"/>
                <w:szCs w:val="22"/>
              </w:rPr>
            </w:pPr>
            <w:r>
              <w:rPr>
                <w:rFonts w:hint="eastAsia"/>
                <w:sz w:val="28"/>
                <w:szCs w:val="22"/>
                <w:lang w:val="zh-CN"/>
              </w:rPr>
              <w:t>25</w:t>
            </w:r>
            <w:r>
              <w:rPr>
                <w:rFonts w:hint="eastAsia"/>
                <w:sz w:val="28"/>
                <w:szCs w:val="22"/>
              </w:rPr>
              <w:t>-</w:t>
            </w:r>
            <w:r>
              <w:rPr>
                <w:rFonts w:hint="eastAsia"/>
                <w:sz w:val="28"/>
                <w:szCs w:val="22"/>
                <w:lang w:val="zh-CN"/>
              </w:rPr>
              <w:t>50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257D185">
            <w:pPr>
              <w:spacing w:line="240" w:lineRule="auto"/>
              <w:ind w:firstLine="0" w:firstLineChars="0"/>
              <w:jc w:val="center"/>
              <w:rPr>
                <w:sz w:val="28"/>
                <w:szCs w:val="22"/>
              </w:rPr>
            </w:pPr>
            <w:r>
              <w:rPr>
                <w:rFonts w:hint="eastAsia"/>
                <w:sz w:val="28"/>
                <w:szCs w:val="22"/>
                <w:lang w:val="zh-CN"/>
              </w:rPr>
              <w:t>&lt;25</w:t>
            </w:r>
          </w:p>
        </w:tc>
      </w:tr>
      <w:tr w14:paraId="6BC1DE55">
        <w:tblPrEx>
          <w:tblCellMar>
            <w:top w:w="0" w:type="dxa"/>
            <w:left w:w="0" w:type="dxa"/>
            <w:bottom w:w="0" w:type="dxa"/>
            <w:right w:w="0" w:type="dxa"/>
          </w:tblCellMar>
        </w:tblPrEx>
        <w:trPr>
          <w:trHeight w:val="222"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0EC764D">
            <w:pPr>
              <w:spacing w:line="360" w:lineRule="auto"/>
              <w:ind w:firstLine="0" w:firstLineChars="0"/>
              <w:jc w:val="left"/>
              <w:rPr>
                <w:sz w:val="28"/>
                <w:szCs w:val="22"/>
              </w:rPr>
            </w:pPr>
            <w:r>
              <w:rPr>
                <w:rFonts w:hint="eastAsia"/>
                <w:sz w:val="28"/>
                <w:szCs w:val="22"/>
              </w:rPr>
              <w:t>机动车出入口数量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F5573F">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16B212">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9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6347894">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8132B2">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c>
          <w:tcPr>
            <w:tcW w:w="15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35B526">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r w14:paraId="4B30F3C1">
        <w:tblPrEx>
          <w:tblCellMar>
            <w:top w:w="0" w:type="dxa"/>
            <w:left w:w="0" w:type="dxa"/>
            <w:bottom w:w="0" w:type="dxa"/>
            <w:right w:w="0" w:type="dxa"/>
          </w:tblCellMar>
        </w:tblPrEx>
        <w:trPr>
          <w:trHeight w:val="444"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91BCBE9">
            <w:pPr>
              <w:spacing w:line="240" w:lineRule="auto"/>
              <w:ind w:firstLine="0" w:firstLineChars="0"/>
              <w:jc w:val="center"/>
              <w:rPr>
                <w:sz w:val="28"/>
                <w:szCs w:val="22"/>
              </w:rPr>
            </w:pPr>
            <w:r>
              <w:rPr>
                <w:rFonts w:hint="eastAsia"/>
                <w:sz w:val="28"/>
                <w:szCs w:val="22"/>
              </w:rPr>
              <w:t>非居住区建筑出入口车道数量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39B4CA">
            <w:pPr>
              <w:spacing w:line="240" w:lineRule="auto"/>
              <w:ind w:firstLine="0" w:firstLineChars="0"/>
              <w:jc w:val="center"/>
              <w:rPr>
                <w:sz w:val="28"/>
                <w:szCs w:val="22"/>
              </w:rPr>
            </w:pPr>
            <w:r>
              <w:rPr>
                <w:rFonts w:hint="eastAsia"/>
                <w:sz w:val="28"/>
                <w:szCs w:val="22"/>
              </w:rPr>
              <w:t>≥</w:t>
            </w:r>
            <w:r>
              <w:rPr>
                <w:rFonts w:hint="eastAsia"/>
                <w:sz w:val="28"/>
                <w:szCs w:val="22"/>
                <w:lang w:val="zh-CN"/>
              </w:rPr>
              <w:t>5</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3E87EF">
            <w:pPr>
              <w:spacing w:line="240" w:lineRule="auto"/>
              <w:ind w:firstLine="0" w:firstLineChars="0"/>
              <w:jc w:val="center"/>
              <w:rPr>
                <w:sz w:val="28"/>
                <w:szCs w:val="22"/>
              </w:rPr>
            </w:pPr>
            <w:r>
              <w:rPr>
                <w:rFonts w:hint="eastAsia"/>
                <w:sz w:val="28"/>
                <w:szCs w:val="22"/>
              </w:rPr>
              <w:t>≥</w:t>
            </w:r>
            <w:r>
              <w:rPr>
                <w:rFonts w:hint="eastAsia"/>
                <w:sz w:val="28"/>
                <w:szCs w:val="22"/>
                <w:lang w:val="zh-CN"/>
              </w:rPr>
              <w:t>4</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2F7050">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66C6A7">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2C3162">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0DB2F5">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r w14:paraId="45326912">
        <w:tblPrEx>
          <w:tblCellMar>
            <w:top w:w="0" w:type="dxa"/>
            <w:left w:w="0" w:type="dxa"/>
            <w:bottom w:w="0" w:type="dxa"/>
            <w:right w:w="0" w:type="dxa"/>
          </w:tblCellMar>
        </w:tblPrEx>
        <w:trPr>
          <w:trHeight w:val="444"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2CD3A13">
            <w:pPr>
              <w:spacing w:line="240" w:lineRule="auto"/>
              <w:ind w:firstLine="0" w:firstLineChars="0"/>
              <w:jc w:val="center"/>
              <w:rPr>
                <w:sz w:val="28"/>
                <w:szCs w:val="22"/>
              </w:rPr>
            </w:pPr>
            <w:r>
              <w:rPr>
                <w:rFonts w:hint="eastAsia"/>
                <w:sz w:val="28"/>
                <w:szCs w:val="22"/>
              </w:rPr>
              <w:t>居住区建筑出入口车道数量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BF38FA">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F06EC3">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9A4E96">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8ACF07">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EBF43FC">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23A7AE">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bl>
    <w:p w14:paraId="3E337EDC">
      <w:pPr>
        <w:ind w:firstLine="0" w:firstLineChars="0"/>
        <w:sectPr>
          <w:footerReference r:id="rId27" w:type="default"/>
          <w:footerReference r:id="rId28" w:type="even"/>
          <w:pgSz w:w="11906" w:h="16838"/>
          <w:pgMar w:top="2098" w:right="1474" w:bottom="1985" w:left="1588" w:header="851" w:footer="992" w:gutter="0"/>
          <w:pgNumType w:fmt="numberInDash" w:start="32"/>
          <w:cols w:space="425" w:num="1"/>
          <w:docGrid w:type="lines" w:linePitch="312" w:charSpace="0"/>
        </w:sectPr>
      </w:pPr>
    </w:p>
    <w:p w14:paraId="093E3DAC">
      <w:pPr>
        <w:pStyle w:val="47"/>
        <w:rPr>
          <w:rFonts w:hint="default"/>
        </w:rPr>
        <w:sectPr>
          <w:pgSz w:w="11906" w:h="16838"/>
          <w:pgMar w:top="2098" w:right="1474" w:bottom="1985" w:left="1588" w:header="851" w:footer="992" w:gutter="0"/>
          <w:pgNumType w:fmt="numberInDash"/>
          <w:cols w:space="425" w:num="1"/>
          <w:docGrid w:type="lines" w:linePitch="312" w:charSpace="0"/>
        </w:sectPr>
      </w:pPr>
      <w:bookmarkStart w:id="55" w:name="_Toc200810628"/>
      <w:r>
        <w:rPr>
          <w:rFonts w:hint="default"/>
        </w:rPr>
        <w:pict>
          <v:shape id="_x0000_s2070" o:spid="_x0000_s2070" o:spt="100" style="position:absolute;left:0pt;margin-left:432.85pt;margin-top:-104.55pt;height:840.8pt;width:0pt;z-index:251683840;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DC9t4N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rPr>
          <w:rFonts w:hint="default"/>
        </w:rPr>
        <w:pict>
          <v:shape id="_x0000_s2069" o:spid="_x0000_s2069" o:spt="100" style="position:absolute;left:0pt;margin-left:263.5pt;margin-top:135.5pt;height:0pt;width:169.8pt;z-index:25168588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m+9am2AAAAAsBAAAPAAAAAAAAAAEAIAAAACIAAABkcnMvZG93bnJldi54bWxQSwEC&#10;FAAUAAAACACHTuJAec+zA58CAADTBQAADgAAAAAAAAABACAAAAAn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68" o:spid="_x0000_s2068" o:spt="1" style="position:absolute;left:0pt;margin-left:-79.4pt;margin-top:-104.75pt;height:846.05pt;width:599pt;z-index:251681792;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FaDtj+I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BWg7Y/iAIAAAgF&#10;AAAOAAAAAAAAAAEAIAAAACgBAABkcnMvZTJvRG9jLnhtbFBLBQYAAAAABgAGAFkBAAAiBgAAAAA=&#10;">
            <v:path/>
            <v:fill on="t" focussize="0,0"/>
            <v:stroke on="f" weight="1pt"/>
            <v:imagedata o:title=""/>
            <o:lock v:ext="edit"/>
          </v:rect>
        </w:pict>
      </w:r>
      <w:r>
        <w:rPr>
          <w:rFonts w:hint="default"/>
        </w:rPr>
        <w:pict>
          <v:shape id="_x0000_s2067" o:spid="_x0000_s2067" o:spt="202" type="#_x0000_t202" style="position:absolute;left:0pt;margin-left:263.1pt;margin-top:97.65pt;height:100.15pt;width:166.05pt;z-index:251684864;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M6og9PgIAAGkEAAAOAAAAAAAAAAEAIAAA&#10;ACoBAABkcnMvZTJvRG9jLnhtbFBLBQYAAAAABgAGAFkBAADaBQAAAAA=&#10;">
            <v:path/>
            <v:fill on="f" focussize="0,0"/>
            <v:stroke on="f" weight="0.5pt" joinstyle="miter"/>
            <v:imagedata o:title=""/>
            <o:lock v:ext="edit"/>
            <v:textbox>
              <w:txbxContent>
                <w:p w14:paraId="198C7B6A">
                  <w:pPr>
                    <w:spacing w:line="640" w:lineRule="exact"/>
                    <w:ind w:firstLine="880"/>
                    <w:rPr>
                      <w:rFonts w:ascii="黑体" w:hAnsi="黑体" w:eastAsia="黑体" w:cs="黑体"/>
                      <w:sz w:val="44"/>
                      <w:szCs w:val="36"/>
                    </w:rPr>
                  </w:pPr>
                  <w:r>
                    <w:rPr>
                      <w:rFonts w:hint="eastAsia" w:ascii="黑体" w:hAnsi="黑体" w:eastAsia="黑体" w:cs="黑体"/>
                      <w:sz w:val="44"/>
                      <w:szCs w:val="36"/>
                    </w:rPr>
                    <w:t>第五章</w:t>
                  </w:r>
                </w:p>
                <w:p w14:paraId="167E731C">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道路交通</w:t>
                  </w:r>
                </w:p>
              </w:txbxContent>
            </v:textbox>
          </v:shape>
        </w:pict>
      </w:r>
      <w:r>
        <w:rPr>
          <w:rFonts w:hint="default"/>
        </w:rPr>
        <w:pict>
          <v:rect id="_x0000_s2066" o:spid="_x0000_s2066" o:spt="1" style="position:absolute;left:0pt;margin-left:-78.95pt;margin-top:173.4pt;height:23.4pt;width:595.3pt;z-index:251682816;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p/lyCo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p/lyCocCAAAG&#10;BQAADgAAAAAAAAABACAAAAAqAQAAZHJzL2Uyb0RvYy54bWxQSwUGAAAAAAYABgBZAQAAIwYAAAAA&#10;">
            <v:path/>
            <v:fill on="t" focussize="0,0"/>
            <v:stroke on="f" weight="1pt"/>
            <v:imagedata o:title=""/>
            <o:lock v:ext="edit"/>
          </v:rect>
        </w:pict>
      </w:r>
      <w:bookmarkEnd w:id="55"/>
    </w:p>
    <w:p w14:paraId="012A0AA5">
      <w:pPr>
        <w:pStyle w:val="47"/>
        <w:jc w:val="center"/>
        <w:rPr>
          <w:rFonts w:hint="default"/>
          <w:sz w:val="36"/>
          <w:szCs w:val="28"/>
        </w:rPr>
      </w:pPr>
      <w:bookmarkStart w:id="56" w:name="_Toc22599"/>
      <w:bookmarkStart w:id="57" w:name="_Toc8605"/>
      <w:r>
        <w:rPr>
          <w:sz w:val="36"/>
          <w:szCs w:val="28"/>
        </w:rPr>
        <w:t>第五章 道路交通</w:t>
      </w:r>
      <w:bookmarkEnd w:id="54"/>
      <w:bookmarkEnd w:id="56"/>
      <w:bookmarkEnd w:id="57"/>
    </w:p>
    <w:p w14:paraId="64B76218">
      <w:pPr>
        <w:pStyle w:val="47"/>
        <w:ind w:firstLine="640" w:firstLineChars="200"/>
        <w:outlineLvl w:val="1"/>
        <w:rPr>
          <w:rFonts w:hint="default"/>
        </w:rPr>
      </w:pPr>
      <w:bookmarkStart w:id="58" w:name="_Toc14169"/>
      <w:bookmarkStart w:id="59" w:name="_Toc32502"/>
      <w:r>
        <w:t>一、道路功能等级划分与规划要求</w:t>
      </w:r>
      <w:bookmarkEnd w:id="58"/>
    </w:p>
    <w:p w14:paraId="3023EE19">
      <w:pPr>
        <w:spacing w:before="160" w:after="160"/>
        <w:ind w:firstLine="640"/>
      </w:pPr>
      <w:r>
        <w:rPr>
          <w:rFonts w:hint="eastAsia"/>
        </w:rPr>
        <w:t>柳州市城市道路功能等级分为快速路、主干路、次干路和支路四个大类和六个小类。各道路功能等级划分与规划要求应符合下表规定：</w:t>
      </w:r>
    </w:p>
    <w:p w14:paraId="6B67773D">
      <w:pPr>
        <w:pStyle w:val="51"/>
        <w:spacing w:beforeLines="100"/>
        <w:rPr>
          <w:rFonts w:hint="default"/>
        </w:rPr>
      </w:pPr>
      <w:r>
        <w:t>表10 道路功能等级划分与规划要求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988"/>
        <w:gridCol w:w="967"/>
        <w:gridCol w:w="883"/>
        <w:gridCol w:w="1000"/>
        <w:gridCol w:w="1350"/>
        <w:gridCol w:w="3152"/>
      </w:tblGrid>
      <w:tr w14:paraId="4D1D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tblHeader/>
          <w:jc w:val="center"/>
        </w:trPr>
        <w:tc>
          <w:tcPr>
            <w:tcW w:w="1955" w:type="dxa"/>
            <w:gridSpan w:val="2"/>
            <w:shd w:val="clear" w:color="auto" w:fill="FFFFFF" w:themeFill="background1"/>
            <w:tcMar>
              <w:top w:w="72" w:type="dxa"/>
              <w:left w:w="144" w:type="dxa"/>
              <w:bottom w:w="72" w:type="dxa"/>
              <w:right w:w="144" w:type="dxa"/>
            </w:tcMar>
            <w:vAlign w:val="center"/>
          </w:tcPr>
          <w:p w14:paraId="2692A17C">
            <w:pPr>
              <w:pStyle w:val="51"/>
              <w:rPr>
                <w:rFonts w:hint="default"/>
              </w:rPr>
            </w:pPr>
            <w:r>
              <w:t>道路等级</w:t>
            </w:r>
          </w:p>
        </w:tc>
        <w:tc>
          <w:tcPr>
            <w:tcW w:w="883" w:type="dxa"/>
            <w:vMerge w:val="restart"/>
            <w:shd w:val="clear" w:color="auto" w:fill="FFFFFF" w:themeFill="background1"/>
            <w:tcMar>
              <w:top w:w="72" w:type="dxa"/>
              <w:left w:w="144" w:type="dxa"/>
              <w:bottom w:w="72" w:type="dxa"/>
              <w:right w:w="144" w:type="dxa"/>
            </w:tcMar>
            <w:vAlign w:val="center"/>
          </w:tcPr>
          <w:p w14:paraId="2703A820">
            <w:pPr>
              <w:pStyle w:val="51"/>
              <w:rPr>
                <w:rFonts w:hint="default"/>
              </w:rPr>
            </w:pPr>
            <w:r>
              <w:t>双向车道数</w:t>
            </w:r>
          </w:p>
        </w:tc>
        <w:tc>
          <w:tcPr>
            <w:tcW w:w="1000" w:type="dxa"/>
            <w:vMerge w:val="restart"/>
            <w:shd w:val="clear" w:color="auto" w:fill="FFFFFF" w:themeFill="background1"/>
            <w:tcMar>
              <w:top w:w="72" w:type="dxa"/>
              <w:left w:w="144" w:type="dxa"/>
              <w:bottom w:w="72" w:type="dxa"/>
              <w:right w:w="144" w:type="dxa"/>
            </w:tcMar>
            <w:vAlign w:val="center"/>
          </w:tcPr>
          <w:p w14:paraId="7F86AACB">
            <w:pPr>
              <w:pStyle w:val="51"/>
              <w:rPr>
                <w:rFonts w:hint="default"/>
              </w:rPr>
            </w:pPr>
            <w:r>
              <w:t>红线宽度（米）</w:t>
            </w:r>
          </w:p>
        </w:tc>
        <w:tc>
          <w:tcPr>
            <w:tcW w:w="1350" w:type="dxa"/>
            <w:vMerge w:val="restart"/>
            <w:shd w:val="clear" w:color="auto" w:fill="FFFFFF" w:themeFill="background1"/>
            <w:tcMar>
              <w:top w:w="72" w:type="dxa"/>
              <w:left w:w="144" w:type="dxa"/>
              <w:bottom w:w="72" w:type="dxa"/>
              <w:right w:w="144" w:type="dxa"/>
            </w:tcMar>
            <w:vAlign w:val="center"/>
          </w:tcPr>
          <w:p w14:paraId="68864155">
            <w:pPr>
              <w:pStyle w:val="51"/>
              <w:rPr>
                <w:rFonts w:hint="default"/>
              </w:rPr>
            </w:pPr>
            <w:r>
              <w:t>设计速度（km/h）</w:t>
            </w:r>
          </w:p>
        </w:tc>
        <w:tc>
          <w:tcPr>
            <w:tcW w:w="3152" w:type="dxa"/>
            <w:vMerge w:val="restart"/>
            <w:shd w:val="clear" w:color="auto" w:fill="FFFFFF" w:themeFill="background1"/>
            <w:tcMar>
              <w:top w:w="72" w:type="dxa"/>
              <w:left w:w="144" w:type="dxa"/>
              <w:bottom w:w="72" w:type="dxa"/>
              <w:right w:w="144" w:type="dxa"/>
            </w:tcMar>
            <w:vAlign w:val="center"/>
          </w:tcPr>
          <w:p w14:paraId="2FC720EF">
            <w:pPr>
              <w:pStyle w:val="51"/>
              <w:rPr>
                <w:rFonts w:hint="default"/>
              </w:rPr>
            </w:pPr>
            <w:r>
              <w:t>功能说明</w:t>
            </w:r>
          </w:p>
        </w:tc>
      </w:tr>
      <w:tr w14:paraId="0D8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988" w:type="dxa"/>
            <w:shd w:val="clear" w:color="auto" w:fill="FFFFFF" w:themeFill="background1"/>
            <w:tcMar>
              <w:top w:w="72" w:type="dxa"/>
              <w:left w:w="144" w:type="dxa"/>
              <w:bottom w:w="72" w:type="dxa"/>
              <w:right w:w="144" w:type="dxa"/>
            </w:tcMar>
            <w:vAlign w:val="center"/>
          </w:tcPr>
          <w:p w14:paraId="0A02551F">
            <w:pPr>
              <w:pStyle w:val="51"/>
              <w:rPr>
                <w:rFonts w:hint="default"/>
              </w:rPr>
            </w:pPr>
            <w:r>
              <w:t>大类</w:t>
            </w:r>
          </w:p>
        </w:tc>
        <w:tc>
          <w:tcPr>
            <w:tcW w:w="967" w:type="dxa"/>
            <w:shd w:val="clear" w:color="auto" w:fill="FFFFFF" w:themeFill="background1"/>
            <w:tcMar>
              <w:top w:w="72" w:type="dxa"/>
              <w:left w:w="144" w:type="dxa"/>
              <w:bottom w:w="72" w:type="dxa"/>
              <w:right w:w="144" w:type="dxa"/>
            </w:tcMar>
            <w:vAlign w:val="center"/>
          </w:tcPr>
          <w:p w14:paraId="2BD58BDD">
            <w:pPr>
              <w:pStyle w:val="51"/>
              <w:rPr>
                <w:rFonts w:hint="default"/>
              </w:rPr>
            </w:pPr>
            <w:r>
              <w:t>小类</w:t>
            </w:r>
          </w:p>
        </w:tc>
        <w:tc>
          <w:tcPr>
            <w:tcW w:w="883" w:type="dxa"/>
            <w:vMerge w:val="continue"/>
            <w:shd w:val="clear" w:color="auto" w:fill="FFFFFF" w:themeFill="background1"/>
            <w:tcMar>
              <w:top w:w="72" w:type="dxa"/>
              <w:left w:w="144" w:type="dxa"/>
              <w:bottom w:w="72" w:type="dxa"/>
              <w:right w:w="144" w:type="dxa"/>
            </w:tcMar>
            <w:vAlign w:val="center"/>
          </w:tcPr>
          <w:p w14:paraId="473F5909">
            <w:pPr>
              <w:pStyle w:val="51"/>
              <w:rPr>
                <w:rFonts w:hint="default"/>
              </w:rPr>
            </w:pPr>
          </w:p>
        </w:tc>
        <w:tc>
          <w:tcPr>
            <w:tcW w:w="1000" w:type="dxa"/>
            <w:vMerge w:val="continue"/>
            <w:shd w:val="clear" w:color="auto" w:fill="FFFFFF" w:themeFill="background1"/>
            <w:tcMar>
              <w:top w:w="72" w:type="dxa"/>
              <w:left w:w="144" w:type="dxa"/>
              <w:bottom w:w="72" w:type="dxa"/>
              <w:right w:w="144" w:type="dxa"/>
            </w:tcMar>
            <w:vAlign w:val="center"/>
          </w:tcPr>
          <w:p w14:paraId="326024DD">
            <w:pPr>
              <w:pStyle w:val="51"/>
              <w:rPr>
                <w:rFonts w:hint="default"/>
              </w:rPr>
            </w:pPr>
          </w:p>
        </w:tc>
        <w:tc>
          <w:tcPr>
            <w:tcW w:w="1350" w:type="dxa"/>
            <w:vMerge w:val="continue"/>
            <w:shd w:val="clear" w:color="auto" w:fill="FFFFFF" w:themeFill="background1"/>
            <w:tcMar>
              <w:top w:w="72" w:type="dxa"/>
              <w:left w:w="144" w:type="dxa"/>
              <w:bottom w:w="72" w:type="dxa"/>
              <w:right w:w="144" w:type="dxa"/>
            </w:tcMar>
            <w:vAlign w:val="center"/>
          </w:tcPr>
          <w:p w14:paraId="38BCBBEE">
            <w:pPr>
              <w:pStyle w:val="51"/>
              <w:rPr>
                <w:rFonts w:hint="default"/>
              </w:rPr>
            </w:pPr>
          </w:p>
        </w:tc>
        <w:tc>
          <w:tcPr>
            <w:tcW w:w="3152" w:type="dxa"/>
            <w:vMerge w:val="continue"/>
            <w:shd w:val="clear" w:color="auto" w:fill="FFFFFF" w:themeFill="background1"/>
            <w:tcMar>
              <w:top w:w="72" w:type="dxa"/>
              <w:left w:w="144" w:type="dxa"/>
              <w:bottom w:w="72" w:type="dxa"/>
              <w:right w:w="144" w:type="dxa"/>
            </w:tcMar>
            <w:vAlign w:val="center"/>
          </w:tcPr>
          <w:p w14:paraId="7B5199F5">
            <w:pPr>
              <w:pStyle w:val="51"/>
              <w:rPr>
                <w:rFonts w:hint="default"/>
              </w:rPr>
            </w:pPr>
          </w:p>
        </w:tc>
      </w:tr>
      <w:tr w14:paraId="41F2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988" w:type="dxa"/>
            <w:shd w:val="clear" w:color="auto" w:fill="FFFFFF" w:themeFill="background1"/>
            <w:tcMar>
              <w:top w:w="72" w:type="dxa"/>
              <w:left w:w="144" w:type="dxa"/>
              <w:bottom w:w="72" w:type="dxa"/>
              <w:right w:w="144" w:type="dxa"/>
            </w:tcMar>
            <w:vAlign w:val="center"/>
          </w:tcPr>
          <w:p w14:paraId="6A7C8193">
            <w:pPr>
              <w:pStyle w:val="51"/>
              <w:rPr>
                <w:rFonts w:hint="default"/>
              </w:rPr>
            </w:pPr>
            <w:r>
              <w:t>快速路</w:t>
            </w:r>
          </w:p>
        </w:tc>
        <w:tc>
          <w:tcPr>
            <w:tcW w:w="967" w:type="dxa"/>
            <w:shd w:val="clear" w:color="auto" w:fill="FFFFFF" w:themeFill="background1"/>
            <w:tcMar>
              <w:top w:w="72" w:type="dxa"/>
              <w:left w:w="144" w:type="dxa"/>
              <w:bottom w:w="72" w:type="dxa"/>
              <w:right w:w="144" w:type="dxa"/>
            </w:tcMar>
            <w:vAlign w:val="center"/>
          </w:tcPr>
          <w:p w14:paraId="0BA2AD27">
            <w:pPr>
              <w:pStyle w:val="51"/>
              <w:rPr>
                <w:rFonts w:hint="default"/>
              </w:rPr>
            </w:pPr>
            <w:r>
              <w:t>快速路</w:t>
            </w:r>
          </w:p>
        </w:tc>
        <w:tc>
          <w:tcPr>
            <w:tcW w:w="883" w:type="dxa"/>
            <w:shd w:val="clear" w:color="auto" w:fill="FFFFFF" w:themeFill="background1"/>
            <w:tcMar>
              <w:top w:w="72" w:type="dxa"/>
              <w:left w:w="144" w:type="dxa"/>
              <w:bottom w:w="72" w:type="dxa"/>
              <w:right w:w="144" w:type="dxa"/>
            </w:tcMar>
            <w:vAlign w:val="center"/>
          </w:tcPr>
          <w:p w14:paraId="323B4C55">
            <w:pPr>
              <w:pStyle w:val="51"/>
              <w:rPr>
                <w:rFonts w:hint="default"/>
              </w:rPr>
            </w:pPr>
            <w:r>
              <w:t>6-10</w:t>
            </w:r>
          </w:p>
        </w:tc>
        <w:tc>
          <w:tcPr>
            <w:tcW w:w="1000" w:type="dxa"/>
            <w:shd w:val="clear" w:color="auto" w:fill="FFFFFF" w:themeFill="background1"/>
            <w:tcMar>
              <w:top w:w="72" w:type="dxa"/>
              <w:left w:w="144" w:type="dxa"/>
              <w:bottom w:w="72" w:type="dxa"/>
              <w:right w:w="144" w:type="dxa"/>
            </w:tcMar>
            <w:vAlign w:val="center"/>
          </w:tcPr>
          <w:p w14:paraId="0B6D6F27">
            <w:pPr>
              <w:pStyle w:val="51"/>
              <w:rPr>
                <w:rFonts w:hint="default"/>
              </w:rPr>
            </w:pPr>
            <w:r>
              <w:t>40-70</w:t>
            </w:r>
          </w:p>
        </w:tc>
        <w:tc>
          <w:tcPr>
            <w:tcW w:w="1350" w:type="dxa"/>
            <w:shd w:val="clear" w:color="auto" w:fill="FFFFFF" w:themeFill="background1"/>
            <w:tcMar>
              <w:top w:w="72" w:type="dxa"/>
              <w:left w:w="144" w:type="dxa"/>
              <w:bottom w:w="72" w:type="dxa"/>
              <w:right w:w="144" w:type="dxa"/>
            </w:tcMar>
            <w:vAlign w:val="center"/>
          </w:tcPr>
          <w:p w14:paraId="4EBE861F">
            <w:pPr>
              <w:pStyle w:val="51"/>
              <w:rPr>
                <w:rFonts w:hint="default"/>
              </w:rPr>
            </w:pPr>
            <w:r>
              <w:t>60-100</w:t>
            </w:r>
          </w:p>
        </w:tc>
        <w:tc>
          <w:tcPr>
            <w:tcW w:w="3152" w:type="dxa"/>
            <w:shd w:val="clear" w:color="auto" w:fill="FFFFFF" w:themeFill="background1"/>
            <w:tcMar>
              <w:top w:w="72" w:type="dxa"/>
              <w:left w:w="144" w:type="dxa"/>
              <w:bottom w:w="72" w:type="dxa"/>
              <w:right w:w="144" w:type="dxa"/>
            </w:tcMar>
            <w:vAlign w:val="center"/>
          </w:tcPr>
          <w:p w14:paraId="3DFFB153">
            <w:pPr>
              <w:pStyle w:val="51"/>
              <w:rPr>
                <w:rFonts w:hint="default"/>
              </w:rPr>
            </w:pPr>
            <w:r>
              <w:t>为城市长距离客货运交通提供快速服务。</w:t>
            </w:r>
          </w:p>
        </w:tc>
      </w:tr>
      <w:tr w14:paraId="11E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8" w:type="dxa"/>
            <w:vMerge w:val="restart"/>
            <w:shd w:val="clear" w:color="auto" w:fill="FFFFFF" w:themeFill="background1"/>
            <w:tcMar>
              <w:top w:w="72" w:type="dxa"/>
              <w:left w:w="144" w:type="dxa"/>
              <w:bottom w:w="72" w:type="dxa"/>
              <w:right w:w="144" w:type="dxa"/>
            </w:tcMar>
            <w:vAlign w:val="center"/>
          </w:tcPr>
          <w:p w14:paraId="75FFEAF6">
            <w:pPr>
              <w:pStyle w:val="51"/>
              <w:rPr>
                <w:rFonts w:hint="default"/>
              </w:rPr>
            </w:pPr>
            <w:r>
              <w:t>主干路</w:t>
            </w:r>
          </w:p>
        </w:tc>
        <w:tc>
          <w:tcPr>
            <w:tcW w:w="967" w:type="dxa"/>
            <w:shd w:val="clear" w:color="auto" w:fill="FFFFFF" w:themeFill="background1"/>
            <w:tcMar>
              <w:top w:w="72" w:type="dxa"/>
              <w:left w:w="144" w:type="dxa"/>
              <w:bottom w:w="72" w:type="dxa"/>
              <w:right w:w="144" w:type="dxa"/>
            </w:tcMar>
            <w:vAlign w:val="center"/>
          </w:tcPr>
          <w:p w14:paraId="4012CE40">
            <w:pPr>
              <w:pStyle w:val="51"/>
              <w:rPr>
                <w:rFonts w:hint="default"/>
              </w:rPr>
            </w:pPr>
            <w:r>
              <w:t>Ⅰ级主干路</w:t>
            </w:r>
          </w:p>
        </w:tc>
        <w:tc>
          <w:tcPr>
            <w:tcW w:w="883" w:type="dxa"/>
            <w:shd w:val="clear" w:color="auto" w:fill="FFFFFF" w:themeFill="background1"/>
            <w:tcMar>
              <w:top w:w="72" w:type="dxa"/>
              <w:left w:w="144" w:type="dxa"/>
              <w:bottom w:w="72" w:type="dxa"/>
              <w:right w:w="144" w:type="dxa"/>
            </w:tcMar>
            <w:vAlign w:val="center"/>
          </w:tcPr>
          <w:p w14:paraId="1F3B4004">
            <w:pPr>
              <w:pStyle w:val="51"/>
              <w:rPr>
                <w:rFonts w:hint="default"/>
              </w:rPr>
            </w:pPr>
            <w:r>
              <w:t>6-8</w:t>
            </w:r>
          </w:p>
        </w:tc>
        <w:tc>
          <w:tcPr>
            <w:tcW w:w="1000" w:type="dxa"/>
            <w:shd w:val="clear" w:color="auto" w:fill="FFFFFF" w:themeFill="background1"/>
            <w:tcMar>
              <w:top w:w="72" w:type="dxa"/>
              <w:left w:w="144" w:type="dxa"/>
              <w:bottom w:w="72" w:type="dxa"/>
              <w:right w:w="144" w:type="dxa"/>
            </w:tcMar>
            <w:vAlign w:val="center"/>
          </w:tcPr>
          <w:p w14:paraId="483A93FC">
            <w:pPr>
              <w:pStyle w:val="51"/>
              <w:rPr>
                <w:rFonts w:hint="default"/>
              </w:rPr>
            </w:pPr>
            <w:r>
              <w:t>40-50</w:t>
            </w:r>
          </w:p>
        </w:tc>
        <w:tc>
          <w:tcPr>
            <w:tcW w:w="1350" w:type="dxa"/>
            <w:shd w:val="clear" w:color="auto" w:fill="FFFFFF" w:themeFill="background1"/>
            <w:tcMar>
              <w:top w:w="72" w:type="dxa"/>
              <w:left w:w="144" w:type="dxa"/>
              <w:bottom w:w="72" w:type="dxa"/>
              <w:right w:w="144" w:type="dxa"/>
            </w:tcMar>
            <w:vAlign w:val="center"/>
          </w:tcPr>
          <w:p w14:paraId="7BC80660">
            <w:pPr>
              <w:pStyle w:val="51"/>
              <w:rPr>
                <w:rFonts w:hint="default"/>
              </w:rPr>
            </w:pPr>
            <w:r>
              <w:t>50-60</w:t>
            </w:r>
          </w:p>
        </w:tc>
        <w:tc>
          <w:tcPr>
            <w:tcW w:w="3152" w:type="dxa"/>
            <w:shd w:val="clear" w:color="auto" w:fill="FFFFFF" w:themeFill="background1"/>
            <w:tcMar>
              <w:top w:w="72" w:type="dxa"/>
              <w:left w:w="144" w:type="dxa"/>
              <w:bottom w:w="72" w:type="dxa"/>
              <w:right w:w="144" w:type="dxa"/>
            </w:tcMar>
            <w:vAlign w:val="center"/>
          </w:tcPr>
          <w:p w14:paraId="70D68256">
            <w:pPr>
              <w:pStyle w:val="51"/>
              <w:rPr>
                <w:rFonts w:hint="default"/>
              </w:rPr>
            </w:pPr>
            <w:r>
              <w:t>城市主要分区（组团）间的中、长距离联系以及分区内部主要交通联系服务。</w:t>
            </w:r>
          </w:p>
        </w:tc>
      </w:tr>
      <w:tr w14:paraId="2392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8" w:type="dxa"/>
            <w:vMerge w:val="continue"/>
            <w:shd w:val="clear" w:color="auto" w:fill="FFFFFF" w:themeFill="background1"/>
            <w:tcMar>
              <w:top w:w="72" w:type="dxa"/>
              <w:left w:w="144" w:type="dxa"/>
              <w:bottom w:w="72" w:type="dxa"/>
              <w:right w:w="144" w:type="dxa"/>
            </w:tcMar>
            <w:vAlign w:val="center"/>
          </w:tcPr>
          <w:p w14:paraId="6D3E7687">
            <w:pPr>
              <w:pStyle w:val="51"/>
              <w:rPr>
                <w:rFonts w:hint="default"/>
              </w:rPr>
            </w:pPr>
          </w:p>
        </w:tc>
        <w:tc>
          <w:tcPr>
            <w:tcW w:w="967" w:type="dxa"/>
            <w:shd w:val="clear" w:color="auto" w:fill="FFFFFF" w:themeFill="background1"/>
            <w:tcMar>
              <w:top w:w="72" w:type="dxa"/>
              <w:left w:w="144" w:type="dxa"/>
              <w:bottom w:w="72" w:type="dxa"/>
              <w:right w:w="144" w:type="dxa"/>
            </w:tcMar>
            <w:vAlign w:val="center"/>
          </w:tcPr>
          <w:p w14:paraId="35EB939D">
            <w:pPr>
              <w:pStyle w:val="51"/>
              <w:rPr>
                <w:rFonts w:hint="default"/>
              </w:rPr>
            </w:pPr>
            <w:r>
              <w:t>Ⅱ级主干路</w:t>
            </w:r>
          </w:p>
        </w:tc>
        <w:tc>
          <w:tcPr>
            <w:tcW w:w="883" w:type="dxa"/>
            <w:shd w:val="clear" w:color="auto" w:fill="FFFFFF" w:themeFill="background1"/>
            <w:tcMar>
              <w:top w:w="72" w:type="dxa"/>
              <w:left w:w="144" w:type="dxa"/>
              <w:bottom w:w="72" w:type="dxa"/>
              <w:right w:w="144" w:type="dxa"/>
            </w:tcMar>
            <w:vAlign w:val="center"/>
          </w:tcPr>
          <w:p w14:paraId="53FC300A">
            <w:pPr>
              <w:pStyle w:val="51"/>
              <w:rPr>
                <w:rFonts w:hint="default"/>
              </w:rPr>
            </w:pPr>
            <w:r>
              <w:t>4-6</w:t>
            </w:r>
          </w:p>
        </w:tc>
        <w:tc>
          <w:tcPr>
            <w:tcW w:w="1000" w:type="dxa"/>
            <w:shd w:val="clear" w:color="auto" w:fill="FFFFFF" w:themeFill="background1"/>
            <w:tcMar>
              <w:top w:w="72" w:type="dxa"/>
              <w:left w:w="144" w:type="dxa"/>
              <w:bottom w:w="72" w:type="dxa"/>
              <w:right w:w="144" w:type="dxa"/>
            </w:tcMar>
            <w:vAlign w:val="center"/>
          </w:tcPr>
          <w:p w14:paraId="18B7D2A4">
            <w:pPr>
              <w:pStyle w:val="51"/>
              <w:rPr>
                <w:rFonts w:hint="default"/>
              </w:rPr>
            </w:pPr>
            <w:r>
              <w:t>32-45</w:t>
            </w:r>
          </w:p>
        </w:tc>
        <w:tc>
          <w:tcPr>
            <w:tcW w:w="1350" w:type="dxa"/>
            <w:shd w:val="clear" w:color="auto" w:fill="FFFFFF" w:themeFill="background1"/>
            <w:tcMar>
              <w:top w:w="72" w:type="dxa"/>
              <w:left w:w="144" w:type="dxa"/>
              <w:bottom w:w="72" w:type="dxa"/>
              <w:right w:w="144" w:type="dxa"/>
            </w:tcMar>
            <w:vAlign w:val="center"/>
          </w:tcPr>
          <w:p w14:paraId="2ED4020A">
            <w:pPr>
              <w:pStyle w:val="51"/>
              <w:rPr>
                <w:rFonts w:hint="default"/>
              </w:rPr>
            </w:pPr>
            <w:r>
              <w:t>40-50</w:t>
            </w:r>
          </w:p>
        </w:tc>
        <w:tc>
          <w:tcPr>
            <w:tcW w:w="3152" w:type="dxa"/>
            <w:shd w:val="clear" w:color="auto" w:fill="FFFFFF" w:themeFill="background1"/>
            <w:tcMar>
              <w:top w:w="72" w:type="dxa"/>
              <w:left w:w="144" w:type="dxa"/>
              <w:bottom w:w="72" w:type="dxa"/>
              <w:right w:w="144" w:type="dxa"/>
            </w:tcMar>
            <w:vAlign w:val="center"/>
          </w:tcPr>
          <w:p w14:paraId="4E66C936">
            <w:pPr>
              <w:pStyle w:val="51"/>
              <w:rPr>
                <w:rFonts w:hint="default"/>
              </w:rPr>
            </w:pPr>
            <w:r>
              <w:t>是相邻城市组团或者组团内部的各重点公共服务、居住、产业、交通枢纽节点等功能片区之间形成的直达性交通联系道路；主要服务于中等距离客运需求。</w:t>
            </w:r>
          </w:p>
        </w:tc>
      </w:tr>
      <w:tr w14:paraId="6B64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12" w:hRule="atLeast"/>
          <w:jc w:val="center"/>
        </w:trPr>
        <w:tc>
          <w:tcPr>
            <w:tcW w:w="988" w:type="dxa"/>
            <w:shd w:val="clear" w:color="auto" w:fill="FFFFFF" w:themeFill="background1"/>
            <w:tcMar>
              <w:top w:w="72" w:type="dxa"/>
              <w:left w:w="144" w:type="dxa"/>
              <w:bottom w:w="72" w:type="dxa"/>
              <w:right w:w="144" w:type="dxa"/>
            </w:tcMar>
            <w:vAlign w:val="center"/>
          </w:tcPr>
          <w:p w14:paraId="2F6374CF">
            <w:pPr>
              <w:pStyle w:val="51"/>
              <w:rPr>
                <w:rFonts w:hint="default"/>
              </w:rPr>
            </w:pPr>
            <w:r>
              <w:t>次干路</w:t>
            </w:r>
          </w:p>
        </w:tc>
        <w:tc>
          <w:tcPr>
            <w:tcW w:w="967" w:type="dxa"/>
            <w:shd w:val="clear" w:color="auto" w:fill="FFFFFF" w:themeFill="background1"/>
            <w:tcMar>
              <w:top w:w="72" w:type="dxa"/>
              <w:left w:w="144" w:type="dxa"/>
              <w:bottom w:w="72" w:type="dxa"/>
              <w:right w:w="144" w:type="dxa"/>
            </w:tcMar>
            <w:vAlign w:val="center"/>
          </w:tcPr>
          <w:p w14:paraId="33C77CBC">
            <w:pPr>
              <w:pStyle w:val="51"/>
              <w:rPr>
                <w:rFonts w:hint="default"/>
              </w:rPr>
            </w:pPr>
            <w:r>
              <w:t>次干路</w:t>
            </w:r>
          </w:p>
        </w:tc>
        <w:tc>
          <w:tcPr>
            <w:tcW w:w="883" w:type="dxa"/>
            <w:shd w:val="clear" w:color="auto" w:fill="FFFFFF" w:themeFill="background1"/>
            <w:tcMar>
              <w:top w:w="72" w:type="dxa"/>
              <w:left w:w="144" w:type="dxa"/>
              <w:bottom w:w="72" w:type="dxa"/>
              <w:right w:w="144" w:type="dxa"/>
            </w:tcMar>
            <w:vAlign w:val="center"/>
          </w:tcPr>
          <w:p w14:paraId="2D4150E3">
            <w:pPr>
              <w:pStyle w:val="51"/>
              <w:rPr>
                <w:rFonts w:hint="default"/>
              </w:rPr>
            </w:pPr>
            <w:r>
              <w:t>2-4</w:t>
            </w:r>
          </w:p>
        </w:tc>
        <w:tc>
          <w:tcPr>
            <w:tcW w:w="1000" w:type="dxa"/>
            <w:shd w:val="clear" w:color="auto" w:fill="FFFFFF" w:themeFill="background1"/>
            <w:tcMar>
              <w:top w:w="72" w:type="dxa"/>
              <w:left w:w="144" w:type="dxa"/>
              <w:bottom w:w="72" w:type="dxa"/>
              <w:right w:w="144" w:type="dxa"/>
            </w:tcMar>
            <w:vAlign w:val="center"/>
          </w:tcPr>
          <w:p w14:paraId="152C0E95">
            <w:pPr>
              <w:pStyle w:val="51"/>
              <w:rPr>
                <w:rFonts w:hint="default"/>
              </w:rPr>
            </w:pPr>
            <w:r>
              <w:t>24-35</w:t>
            </w:r>
          </w:p>
        </w:tc>
        <w:tc>
          <w:tcPr>
            <w:tcW w:w="1350" w:type="dxa"/>
            <w:shd w:val="clear" w:color="auto" w:fill="FFFFFF" w:themeFill="background1"/>
            <w:tcMar>
              <w:top w:w="72" w:type="dxa"/>
              <w:left w:w="144" w:type="dxa"/>
              <w:bottom w:w="72" w:type="dxa"/>
              <w:right w:w="144" w:type="dxa"/>
            </w:tcMar>
            <w:vAlign w:val="center"/>
          </w:tcPr>
          <w:p w14:paraId="67B75797">
            <w:pPr>
              <w:pStyle w:val="51"/>
              <w:rPr>
                <w:rFonts w:hint="default"/>
              </w:rPr>
            </w:pPr>
            <w:r>
              <w:t>30-50</w:t>
            </w:r>
          </w:p>
        </w:tc>
        <w:tc>
          <w:tcPr>
            <w:tcW w:w="3152" w:type="dxa"/>
            <w:shd w:val="clear" w:color="auto" w:fill="FFFFFF" w:themeFill="background1"/>
            <w:tcMar>
              <w:top w:w="72" w:type="dxa"/>
              <w:left w:w="144" w:type="dxa"/>
              <w:bottom w:w="72" w:type="dxa"/>
              <w:right w:w="144" w:type="dxa"/>
            </w:tcMar>
            <w:vAlign w:val="center"/>
          </w:tcPr>
          <w:p w14:paraId="4DF84694">
            <w:pPr>
              <w:pStyle w:val="51"/>
              <w:rPr>
                <w:rFonts w:hint="default"/>
              </w:rPr>
            </w:pPr>
            <w:r>
              <w:t>在城市路网中起集散交通功能，满足各功能片区内部中短距离出行需求。</w:t>
            </w:r>
          </w:p>
        </w:tc>
      </w:tr>
      <w:tr w14:paraId="53F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8" w:type="dxa"/>
            <w:vMerge w:val="restart"/>
            <w:shd w:val="clear" w:color="auto" w:fill="FFFFFF" w:themeFill="background1"/>
            <w:tcMar>
              <w:top w:w="72" w:type="dxa"/>
              <w:left w:w="144" w:type="dxa"/>
              <w:bottom w:w="72" w:type="dxa"/>
              <w:right w:w="144" w:type="dxa"/>
            </w:tcMar>
            <w:vAlign w:val="center"/>
          </w:tcPr>
          <w:p w14:paraId="0B80A141">
            <w:pPr>
              <w:pStyle w:val="51"/>
              <w:rPr>
                <w:rFonts w:hint="default"/>
              </w:rPr>
            </w:pPr>
            <w:r>
              <w:t>支路</w:t>
            </w:r>
          </w:p>
        </w:tc>
        <w:tc>
          <w:tcPr>
            <w:tcW w:w="967" w:type="dxa"/>
            <w:shd w:val="clear" w:color="auto" w:fill="FFFFFF" w:themeFill="background1"/>
            <w:tcMar>
              <w:top w:w="72" w:type="dxa"/>
              <w:left w:w="144" w:type="dxa"/>
              <w:bottom w:w="72" w:type="dxa"/>
              <w:right w:w="144" w:type="dxa"/>
            </w:tcMar>
            <w:vAlign w:val="center"/>
          </w:tcPr>
          <w:p w14:paraId="3D64AA43">
            <w:pPr>
              <w:pStyle w:val="51"/>
              <w:rPr>
                <w:rFonts w:hint="default"/>
              </w:rPr>
            </w:pPr>
            <w:r>
              <w:t>Ⅰ级支路</w:t>
            </w:r>
          </w:p>
        </w:tc>
        <w:tc>
          <w:tcPr>
            <w:tcW w:w="883" w:type="dxa"/>
            <w:shd w:val="clear" w:color="auto" w:fill="FFFFFF" w:themeFill="background1"/>
            <w:tcMar>
              <w:top w:w="72" w:type="dxa"/>
              <w:left w:w="144" w:type="dxa"/>
              <w:bottom w:w="72" w:type="dxa"/>
              <w:right w:w="144" w:type="dxa"/>
            </w:tcMar>
            <w:vAlign w:val="center"/>
          </w:tcPr>
          <w:p w14:paraId="0B113A30">
            <w:pPr>
              <w:pStyle w:val="51"/>
              <w:rPr>
                <w:rFonts w:hint="default"/>
              </w:rPr>
            </w:pPr>
            <w:r>
              <w:t>2</w:t>
            </w:r>
          </w:p>
        </w:tc>
        <w:tc>
          <w:tcPr>
            <w:tcW w:w="1000" w:type="dxa"/>
            <w:shd w:val="clear" w:color="auto" w:fill="FFFFFF" w:themeFill="background1"/>
            <w:tcMar>
              <w:top w:w="72" w:type="dxa"/>
              <w:left w:w="144" w:type="dxa"/>
              <w:bottom w:w="72" w:type="dxa"/>
              <w:right w:w="144" w:type="dxa"/>
            </w:tcMar>
            <w:vAlign w:val="center"/>
          </w:tcPr>
          <w:p w14:paraId="28629A06">
            <w:pPr>
              <w:pStyle w:val="51"/>
              <w:rPr>
                <w:rFonts w:hint="default"/>
              </w:rPr>
            </w:pPr>
            <w:r>
              <w:t>14-24</w:t>
            </w:r>
          </w:p>
        </w:tc>
        <w:tc>
          <w:tcPr>
            <w:tcW w:w="1350" w:type="dxa"/>
            <w:shd w:val="clear" w:color="auto" w:fill="FFFFFF" w:themeFill="background1"/>
            <w:tcMar>
              <w:top w:w="72" w:type="dxa"/>
              <w:left w:w="144" w:type="dxa"/>
              <w:bottom w:w="72" w:type="dxa"/>
              <w:right w:w="144" w:type="dxa"/>
            </w:tcMar>
            <w:vAlign w:val="center"/>
          </w:tcPr>
          <w:p w14:paraId="43741562">
            <w:pPr>
              <w:pStyle w:val="51"/>
              <w:rPr>
                <w:rFonts w:hint="default"/>
              </w:rPr>
            </w:pPr>
            <w:r>
              <w:t>20-30</w:t>
            </w:r>
          </w:p>
        </w:tc>
        <w:tc>
          <w:tcPr>
            <w:tcW w:w="3152" w:type="dxa"/>
            <w:shd w:val="clear" w:color="auto" w:fill="FFFFFF" w:themeFill="background1"/>
            <w:tcMar>
              <w:top w:w="72" w:type="dxa"/>
              <w:left w:w="144" w:type="dxa"/>
              <w:bottom w:w="72" w:type="dxa"/>
              <w:right w:w="144" w:type="dxa"/>
            </w:tcMar>
            <w:vAlign w:val="center"/>
          </w:tcPr>
          <w:p w14:paraId="1BD38202">
            <w:pPr>
              <w:pStyle w:val="51"/>
              <w:rPr>
                <w:rFonts w:hint="default"/>
              </w:rPr>
            </w:pPr>
            <w:r>
              <w:t>为短距离地方性活动组织服务。</w:t>
            </w:r>
          </w:p>
        </w:tc>
      </w:tr>
      <w:tr w14:paraId="184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8" w:type="dxa"/>
            <w:vMerge w:val="continue"/>
            <w:shd w:val="clear" w:color="auto" w:fill="FFFFFF" w:themeFill="background1"/>
            <w:tcMar>
              <w:top w:w="72" w:type="dxa"/>
              <w:left w:w="144" w:type="dxa"/>
              <w:bottom w:w="72" w:type="dxa"/>
              <w:right w:w="144" w:type="dxa"/>
            </w:tcMar>
            <w:vAlign w:val="center"/>
          </w:tcPr>
          <w:p w14:paraId="7F4B69ED">
            <w:pPr>
              <w:pStyle w:val="51"/>
              <w:rPr>
                <w:rFonts w:hint="default"/>
              </w:rPr>
            </w:pPr>
          </w:p>
        </w:tc>
        <w:tc>
          <w:tcPr>
            <w:tcW w:w="967" w:type="dxa"/>
            <w:shd w:val="clear" w:color="auto" w:fill="FFFFFF" w:themeFill="background1"/>
            <w:tcMar>
              <w:top w:w="72" w:type="dxa"/>
              <w:left w:w="144" w:type="dxa"/>
              <w:bottom w:w="72" w:type="dxa"/>
              <w:right w:w="144" w:type="dxa"/>
            </w:tcMar>
            <w:vAlign w:val="center"/>
          </w:tcPr>
          <w:p w14:paraId="4EA00676">
            <w:pPr>
              <w:pStyle w:val="51"/>
              <w:rPr>
                <w:rFonts w:hint="default"/>
              </w:rPr>
            </w:pPr>
            <w:r>
              <w:t>Ⅱ级支路</w:t>
            </w:r>
          </w:p>
        </w:tc>
        <w:tc>
          <w:tcPr>
            <w:tcW w:w="883" w:type="dxa"/>
            <w:shd w:val="clear" w:color="auto" w:fill="FFFFFF" w:themeFill="background1"/>
            <w:tcMar>
              <w:top w:w="72" w:type="dxa"/>
              <w:left w:w="144" w:type="dxa"/>
              <w:bottom w:w="72" w:type="dxa"/>
              <w:right w:w="144" w:type="dxa"/>
            </w:tcMar>
            <w:vAlign w:val="center"/>
          </w:tcPr>
          <w:p w14:paraId="2DF8B4B0">
            <w:pPr>
              <w:pStyle w:val="51"/>
              <w:rPr>
                <w:rFonts w:hint="default"/>
              </w:rPr>
            </w:pPr>
            <w:r>
              <w:t>——</w:t>
            </w:r>
          </w:p>
        </w:tc>
        <w:tc>
          <w:tcPr>
            <w:tcW w:w="1000" w:type="dxa"/>
            <w:shd w:val="clear" w:color="auto" w:fill="FFFFFF" w:themeFill="background1"/>
            <w:tcMar>
              <w:top w:w="72" w:type="dxa"/>
              <w:left w:w="144" w:type="dxa"/>
              <w:bottom w:w="72" w:type="dxa"/>
              <w:right w:w="144" w:type="dxa"/>
            </w:tcMar>
            <w:vAlign w:val="center"/>
          </w:tcPr>
          <w:p w14:paraId="70D7DC5B">
            <w:pPr>
              <w:pStyle w:val="51"/>
              <w:rPr>
                <w:rFonts w:hint="default"/>
              </w:rPr>
            </w:pPr>
            <w:r>
              <w:t>3-14</w:t>
            </w:r>
          </w:p>
        </w:tc>
        <w:tc>
          <w:tcPr>
            <w:tcW w:w="1350" w:type="dxa"/>
            <w:shd w:val="clear" w:color="auto" w:fill="FFFFFF" w:themeFill="background1"/>
            <w:tcMar>
              <w:top w:w="72" w:type="dxa"/>
              <w:left w:w="144" w:type="dxa"/>
              <w:bottom w:w="72" w:type="dxa"/>
              <w:right w:w="144" w:type="dxa"/>
            </w:tcMar>
            <w:vAlign w:val="center"/>
          </w:tcPr>
          <w:p w14:paraId="24BC8FDA">
            <w:pPr>
              <w:pStyle w:val="51"/>
              <w:rPr>
                <w:rFonts w:hint="default"/>
              </w:rPr>
            </w:pPr>
            <w:r>
              <w:t>——</w:t>
            </w:r>
          </w:p>
        </w:tc>
        <w:tc>
          <w:tcPr>
            <w:tcW w:w="3152" w:type="dxa"/>
            <w:shd w:val="clear" w:color="auto" w:fill="FFFFFF" w:themeFill="background1"/>
            <w:tcMar>
              <w:top w:w="72" w:type="dxa"/>
              <w:left w:w="144" w:type="dxa"/>
              <w:bottom w:w="72" w:type="dxa"/>
              <w:right w:w="144" w:type="dxa"/>
            </w:tcMar>
            <w:vAlign w:val="center"/>
          </w:tcPr>
          <w:p w14:paraId="0A5D0737">
            <w:pPr>
              <w:pStyle w:val="51"/>
              <w:rPr>
                <w:rFonts w:hint="default"/>
              </w:rPr>
            </w:pPr>
            <w:r>
              <w:t>为短距离地方性活动组织服务的街坊内道路、步行、非机动车专用道等。</w:t>
            </w:r>
          </w:p>
        </w:tc>
      </w:tr>
      <w:bookmarkEnd w:id="59"/>
    </w:tbl>
    <w:p w14:paraId="79EBB7E6">
      <w:pPr>
        <w:pStyle w:val="47"/>
        <w:ind w:firstLine="640" w:firstLineChars="200"/>
        <w:outlineLvl w:val="1"/>
        <w:rPr>
          <w:rFonts w:hint="default"/>
        </w:rPr>
      </w:pPr>
      <w:bookmarkStart w:id="60" w:name="_Toc23991"/>
      <w:bookmarkStart w:id="61" w:name="_Toc5837"/>
      <w:r>
        <w:t>二、地块出入口设置</w:t>
      </w:r>
      <w:bookmarkEnd w:id="60"/>
    </w:p>
    <w:p w14:paraId="645D73F0">
      <w:pPr>
        <w:ind w:firstLine="640"/>
      </w:pPr>
      <w:r>
        <w:rPr>
          <w:rFonts w:hint="eastAsia"/>
        </w:rPr>
        <w:t>地块出入口设置应当符合以下规定</w:t>
      </w:r>
      <w:r>
        <w:rPr>
          <w:rFonts w:hint="eastAsia"/>
          <w:lang w:eastAsia="zh-CN"/>
        </w:rPr>
        <w:t>：</w:t>
      </w:r>
    </w:p>
    <w:p w14:paraId="21FD7946">
      <w:pPr>
        <w:pStyle w:val="51"/>
        <w:spacing w:beforeLines="100"/>
        <w:rPr>
          <w:rFonts w:hint="default"/>
        </w:rPr>
      </w:pPr>
      <w:r>
        <w:t>表11建设项目基地机动车出入口设置要求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933"/>
        <w:gridCol w:w="3984"/>
      </w:tblGrid>
      <w:tr w14:paraId="7306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43" w:type="dxa"/>
            <w:vAlign w:val="center"/>
          </w:tcPr>
          <w:p w14:paraId="2AA7935B">
            <w:pPr>
              <w:spacing w:line="240" w:lineRule="auto"/>
              <w:ind w:firstLine="0" w:firstLineChars="0"/>
              <w:jc w:val="center"/>
              <w:rPr>
                <w:rFonts w:eastAsia="仿宋_GB2312"/>
                <w:sz w:val="28"/>
                <w:szCs w:val="21"/>
              </w:rPr>
            </w:pPr>
          </w:p>
        </w:tc>
        <w:tc>
          <w:tcPr>
            <w:tcW w:w="3933" w:type="dxa"/>
            <w:vAlign w:val="center"/>
          </w:tcPr>
          <w:p w14:paraId="2E688933">
            <w:pPr>
              <w:spacing w:line="240" w:lineRule="auto"/>
              <w:ind w:firstLine="0" w:firstLineChars="0"/>
              <w:jc w:val="center"/>
              <w:rPr>
                <w:rFonts w:eastAsia="仿宋_GB2312"/>
                <w:sz w:val="28"/>
                <w:szCs w:val="21"/>
              </w:rPr>
            </w:pPr>
            <w:r>
              <w:rPr>
                <w:rFonts w:hint="eastAsia" w:eastAsia="仿宋_GB2312"/>
                <w:sz w:val="28"/>
                <w:szCs w:val="21"/>
              </w:rPr>
              <w:t>内容</w:t>
            </w:r>
          </w:p>
        </w:tc>
        <w:tc>
          <w:tcPr>
            <w:tcW w:w="3984" w:type="dxa"/>
            <w:vAlign w:val="center"/>
          </w:tcPr>
          <w:p w14:paraId="21811FF1">
            <w:pPr>
              <w:spacing w:line="240" w:lineRule="auto"/>
              <w:ind w:firstLine="0" w:firstLineChars="0"/>
              <w:jc w:val="center"/>
              <w:rPr>
                <w:rFonts w:eastAsia="仿宋_GB2312"/>
                <w:sz w:val="28"/>
                <w:szCs w:val="21"/>
              </w:rPr>
            </w:pPr>
            <w:r>
              <w:rPr>
                <w:rFonts w:hint="eastAsia" w:eastAsia="仿宋_GB2312"/>
                <w:sz w:val="28"/>
                <w:szCs w:val="21"/>
              </w:rPr>
              <w:t>要求</w:t>
            </w:r>
          </w:p>
        </w:tc>
      </w:tr>
      <w:tr w14:paraId="096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restart"/>
            <w:vAlign w:val="center"/>
          </w:tcPr>
          <w:p w14:paraId="38BBCE6E">
            <w:pPr>
              <w:spacing w:line="240" w:lineRule="auto"/>
              <w:ind w:firstLine="0" w:firstLineChars="0"/>
              <w:jc w:val="center"/>
              <w:rPr>
                <w:rFonts w:eastAsia="仿宋_GB2312"/>
                <w:sz w:val="28"/>
                <w:szCs w:val="21"/>
              </w:rPr>
            </w:pPr>
            <w:r>
              <w:rPr>
                <w:rFonts w:hint="eastAsia" w:eastAsia="仿宋_GB2312"/>
                <w:sz w:val="28"/>
                <w:szCs w:val="21"/>
              </w:rPr>
              <w:t>出入口位置</w:t>
            </w:r>
          </w:p>
        </w:tc>
        <w:tc>
          <w:tcPr>
            <w:tcW w:w="3933" w:type="dxa"/>
            <w:vAlign w:val="center"/>
          </w:tcPr>
          <w:p w14:paraId="632BA58C">
            <w:pPr>
              <w:spacing w:line="240" w:lineRule="auto"/>
              <w:ind w:firstLine="0" w:firstLineChars="0"/>
              <w:jc w:val="center"/>
              <w:rPr>
                <w:rFonts w:eastAsia="仿宋_GB2312"/>
                <w:sz w:val="28"/>
                <w:szCs w:val="21"/>
              </w:rPr>
            </w:pPr>
            <w:r>
              <w:rPr>
                <w:rFonts w:hint="eastAsia" w:eastAsia="仿宋_GB2312"/>
                <w:sz w:val="28"/>
                <w:szCs w:val="21"/>
              </w:rPr>
              <w:t>建设项目位于城市快速路或者主干路旁</w:t>
            </w:r>
          </w:p>
        </w:tc>
        <w:tc>
          <w:tcPr>
            <w:tcW w:w="3984" w:type="dxa"/>
            <w:vAlign w:val="center"/>
          </w:tcPr>
          <w:p w14:paraId="248CE21B">
            <w:pPr>
              <w:spacing w:line="240" w:lineRule="auto"/>
              <w:ind w:firstLine="0" w:firstLineChars="0"/>
              <w:jc w:val="center"/>
              <w:rPr>
                <w:rFonts w:eastAsia="仿宋_GB2312"/>
                <w:sz w:val="28"/>
                <w:szCs w:val="21"/>
              </w:rPr>
            </w:pPr>
            <w:r>
              <w:rPr>
                <w:rFonts w:hint="eastAsia" w:eastAsia="仿宋_GB2312"/>
                <w:sz w:val="28"/>
                <w:szCs w:val="21"/>
              </w:rPr>
              <w:t>严禁开设在快速路上，严格控制开设在主干路上</w:t>
            </w:r>
          </w:p>
        </w:tc>
      </w:tr>
      <w:tr w14:paraId="2726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31E64616">
            <w:pPr>
              <w:spacing w:line="240" w:lineRule="auto"/>
              <w:ind w:firstLine="0" w:firstLineChars="0"/>
              <w:jc w:val="center"/>
              <w:rPr>
                <w:rFonts w:eastAsia="仿宋_GB2312"/>
                <w:sz w:val="28"/>
                <w:szCs w:val="21"/>
              </w:rPr>
            </w:pPr>
          </w:p>
        </w:tc>
        <w:tc>
          <w:tcPr>
            <w:tcW w:w="3933" w:type="dxa"/>
            <w:vAlign w:val="center"/>
          </w:tcPr>
          <w:p w14:paraId="45C24023">
            <w:pPr>
              <w:spacing w:line="240" w:lineRule="auto"/>
              <w:ind w:firstLine="0" w:firstLineChars="0"/>
              <w:jc w:val="center"/>
              <w:rPr>
                <w:rFonts w:eastAsia="仿宋_GB2312"/>
                <w:sz w:val="28"/>
                <w:szCs w:val="21"/>
              </w:rPr>
            </w:pPr>
            <w:r>
              <w:rPr>
                <w:rFonts w:hint="eastAsia" w:eastAsia="仿宋_GB2312"/>
                <w:sz w:val="28"/>
                <w:szCs w:val="21"/>
              </w:rPr>
              <w:t>建设项目位于主干路与次干道、支路相交的位置旁</w:t>
            </w:r>
          </w:p>
        </w:tc>
        <w:tc>
          <w:tcPr>
            <w:tcW w:w="3984" w:type="dxa"/>
            <w:vAlign w:val="center"/>
          </w:tcPr>
          <w:p w14:paraId="2C7EB19B">
            <w:pPr>
              <w:spacing w:line="240" w:lineRule="auto"/>
              <w:ind w:firstLine="0" w:firstLineChars="0"/>
              <w:jc w:val="center"/>
              <w:rPr>
                <w:rFonts w:eastAsia="仿宋_GB2312"/>
                <w:sz w:val="28"/>
                <w:szCs w:val="21"/>
              </w:rPr>
            </w:pPr>
            <w:r>
              <w:rPr>
                <w:rFonts w:hint="eastAsia" w:eastAsia="仿宋_GB2312"/>
                <w:sz w:val="28"/>
                <w:szCs w:val="21"/>
              </w:rPr>
              <w:t>宜开设在次干路和支路上</w:t>
            </w:r>
          </w:p>
        </w:tc>
      </w:tr>
      <w:tr w14:paraId="792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2FB59CEE">
            <w:pPr>
              <w:spacing w:line="240" w:lineRule="auto"/>
              <w:ind w:firstLine="0" w:firstLineChars="0"/>
              <w:jc w:val="center"/>
              <w:rPr>
                <w:rFonts w:eastAsia="仿宋_GB2312"/>
                <w:sz w:val="28"/>
                <w:szCs w:val="21"/>
              </w:rPr>
            </w:pPr>
          </w:p>
        </w:tc>
        <w:tc>
          <w:tcPr>
            <w:tcW w:w="3933" w:type="dxa"/>
            <w:vAlign w:val="center"/>
          </w:tcPr>
          <w:p w14:paraId="547E6843">
            <w:pPr>
              <w:spacing w:line="240" w:lineRule="auto"/>
              <w:ind w:firstLine="0" w:firstLineChars="0"/>
              <w:jc w:val="center"/>
              <w:rPr>
                <w:rFonts w:eastAsia="仿宋_GB2312"/>
                <w:sz w:val="28"/>
                <w:szCs w:val="21"/>
              </w:rPr>
            </w:pPr>
            <w:r>
              <w:rPr>
                <w:rFonts w:hint="eastAsia" w:eastAsia="仿宋_GB2312"/>
                <w:sz w:val="28"/>
                <w:szCs w:val="21"/>
              </w:rPr>
              <w:t>建设项目位于次干道与支路相交的位置旁</w:t>
            </w:r>
          </w:p>
        </w:tc>
        <w:tc>
          <w:tcPr>
            <w:tcW w:w="3984" w:type="dxa"/>
            <w:vAlign w:val="center"/>
          </w:tcPr>
          <w:p w14:paraId="0B0FC0AB">
            <w:pPr>
              <w:spacing w:line="240" w:lineRule="auto"/>
              <w:ind w:firstLine="0" w:firstLineChars="0"/>
              <w:jc w:val="center"/>
              <w:rPr>
                <w:rFonts w:eastAsia="仿宋_GB2312"/>
                <w:sz w:val="28"/>
                <w:szCs w:val="21"/>
              </w:rPr>
            </w:pPr>
            <w:r>
              <w:rPr>
                <w:rFonts w:hint="eastAsia" w:eastAsia="仿宋_GB2312"/>
                <w:sz w:val="28"/>
                <w:szCs w:val="21"/>
              </w:rPr>
              <w:t>宜设在支路上</w:t>
            </w:r>
          </w:p>
        </w:tc>
      </w:tr>
      <w:tr w14:paraId="5A29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restart"/>
            <w:vAlign w:val="center"/>
          </w:tcPr>
          <w:p w14:paraId="6C3CBC83">
            <w:pPr>
              <w:spacing w:line="240" w:lineRule="auto"/>
              <w:ind w:firstLine="0" w:firstLineChars="0"/>
              <w:jc w:val="center"/>
              <w:rPr>
                <w:rFonts w:eastAsia="仿宋_GB2312"/>
                <w:sz w:val="28"/>
                <w:szCs w:val="21"/>
              </w:rPr>
            </w:pPr>
            <w:r>
              <w:rPr>
                <w:rFonts w:hint="eastAsia" w:eastAsia="仿宋_GB2312"/>
                <w:sz w:val="28"/>
                <w:szCs w:val="21"/>
              </w:rPr>
              <w:t>出入口距离</w:t>
            </w:r>
          </w:p>
        </w:tc>
        <w:tc>
          <w:tcPr>
            <w:tcW w:w="3933" w:type="dxa"/>
            <w:vAlign w:val="center"/>
          </w:tcPr>
          <w:p w14:paraId="07CA1049">
            <w:pPr>
              <w:spacing w:line="240" w:lineRule="auto"/>
              <w:ind w:firstLine="0" w:firstLineChars="0"/>
              <w:jc w:val="center"/>
              <w:rPr>
                <w:rFonts w:eastAsia="仿宋_GB2312"/>
                <w:sz w:val="28"/>
                <w:szCs w:val="21"/>
              </w:rPr>
            </w:pPr>
            <w:r>
              <w:rPr>
                <w:rFonts w:hint="eastAsia" w:eastAsia="仿宋_GB2312"/>
                <w:sz w:val="28"/>
                <w:szCs w:val="21"/>
              </w:rPr>
              <w:t>开设在主干路上的建设项目出入口</w:t>
            </w:r>
          </w:p>
        </w:tc>
        <w:tc>
          <w:tcPr>
            <w:tcW w:w="3984" w:type="dxa"/>
            <w:vAlign w:val="center"/>
          </w:tcPr>
          <w:p w14:paraId="7E56C0D0">
            <w:pPr>
              <w:spacing w:line="240" w:lineRule="auto"/>
              <w:ind w:firstLine="0" w:firstLineChars="0"/>
              <w:jc w:val="center"/>
              <w:rPr>
                <w:rFonts w:eastAsia="仿宋_GB2312"/>
                <w:sz w:val="28"/>
                <w:szCs w:val="21"/>
              </w:rPr>
            </w:pPr>
            <w:r>
              <w:rPr>
                <w:rFonts w:hint="eastAsia" w:eastAsia="仿宋_GB2312"/>
                <w:sz w:val="28"/>
                <w:szCs w:val="21"/>
              </w:rPr>
              <w:t>距离平面交叉口不应小于80米（从路缘石转弯曲线的切点处起算）</w:t>
            </w:r>
          </w:p>
        </w:tc>
      </w:tr>
      <w:tr w14:paraId="3D4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2DE9F27A">
            <w:pPr>
              <w:spacing w:line="240" w:lineRule="auto"/>
              <w:ind w:firstLine="0" w:firstLineChars="0"/>
              <w:jc w:val="center"/>
              <w:rPr>
                <w:rFonts w:eastAsia="仿宋_GB2312"/>
                <w:sz w:val="28"/>
                <w:szCs w:val="21"/>
              </w:rPr>
            </w:pPr>
          </w:p>
        </w:tc>
        <w:tc>
          <w:tcPr>
            <w:tcW w:w="3933" w:type="dxa"/>
            <w:vAlign w:val="center"/>
          </w:tcPr>
          <w:p w14:paraId="365B5C41">
            <w:pPr>
              <w:spacing w:line="240" w:lineRule="auto"/>
              <w:ind w:firstLine="0" w:firstLineChars="0"/>
              <w:jc w:val="center"/>
              <w:rPr>
                <w:rFonts w:eastAsia="仿宋_GB2312"/>
                <w:sz w:val="28"/>
                <w:szCs w:val="21"/>
              </w:rPr>
            </w:pPr>
            <w:r>
              <w:rPr>
                <w:rFonts w:hint="eastAsia" w:eastAsia="仿宋_GB2312"/>
                <w:sz w:val="28"/>
                <w:szCs w:val="21"/>
              </w:rPr>
              <w:t>开设在次干道上的建设项目出入口</w:t>
            </w:r>
          </w:p>
        </w:tc>
        <w:tc>
          <w:tcPr>
            <w:tcW w:w="3984" w:type="dxa"/>
            <w:vAlign w:val="center"/>
          </w:tcPr>
          <w:p w14:paraId="739AF3A8">
            <w:pPr>
              <w:spacing w:line="240" w:lineRule="auto"/>
              <w:ind w:firstLine="0" w:firstLineChars="0"/>
              <w:jc w:val="center"/>
              <w:rPr>
                <w:rFonts w:eastAsia="仿宋_GB2312"/>
                <w:sz w:val="28"/>
                <w:szCs w:val="21"/>
              </w:rPr>
            </w:pPr>
            <w:r>
              <w:rPr>
                <w:rFonts w:hint="eastAsia" w:eastAsia="仿宋_GB2312"/>
                <w:sz w:val="28"/>
                <w:szCs w:val="21"/>
              </w:rPr>
              <w:t>距离平面交叉口不应小于50米（从路缘石转弯曲线的切点处起算）</w:t>
            </w:r>
          </w:p>
        </w:tc>
      </w:tr>
      <w:tr w14:paraId="41E2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2A50902C">
            <w:pPr>
              <w:spacing w:line="240" w:lineRule="auto"/>
              <w:ind w:firstLine="0" w:firstLineChars="0"/>
              <w:jc w:val="center"/>
              <w:rPr>
                <w:rFonts w:eastAsia="仿宋_GB2312"/>
                <w:sz w:val="28"/>
                <w:szCs w:val="21"/>
              </w:rPr>
            </w:pPr>
          </w:p>
        </w:tc>
        <w:tc>
          <w:tcPr>
            <w:tcW w:w="3933" w:type="dxa"/>
            <w:vAlign w:val="center"/>
          </w:tcPr>
          <w:p w14:paraId="69EFB596">
            <w:pPr>
              <w:spacing w:line="240" w:lineRule="auto"/>
              <w:ind w:firstLine="0" w:firstLineChars="0"/>
              <w:jc w:val="center"/>
              <w:rPr>
                <w:rFonts w:eastAsia="仿宋_GB2312"/>
                <w:sz w:val="28"/>
                <w:szCs w:val="21"/>
              </w:rPr>
            </w:pPr>
            <w:r>
              <w:rPr>
                <w:rFonts w:hint="eastAsia" w:eastAsia="仿宋_GB2312"/>
                <w:sz w:val="28"/>
                <w:szCs w:val="21"/>
              </w:rPr>
              <w:t>开设在支路上的建设项目出入口</w:t>
            </w:r>
          </w:p>
        </w:tc>
        <w:tc>
          <w:tcPr>
            <w:tcW w:w="3984" w:type="dxa"/>
            <w:vAlign w:val="center"/>
          </w:tcPr>
          <w:p w14:paraId="1808618C">
            <w:pPr>
              <w:spacing w:line="240" w:lineRule="auto"/>
              <w:ind w:firstLine="0" w:firstLineChars="0"/>
              <w:jc w:val="center"/>
              <w:rPr>
                <w:rFonts w:eastAsia="仿宋_GB2312"/>
                <w:sz w:val="28"/>
                <w:szCs w:val="21"/>
              </w:rPr>
            </w:pPr>
            <w:r>
              <w:rPr>
                <w:rFonts w:hint="eastAsia" w:eastAsia="仿宋_GB2312"/>
                <w:sz w:val="28"/>
                <w:szCs w:val="21"/>
              </w:rPr>
              <w:t>距离与干路相交的平面交叉口不宜小于30米，距离与支路相交的平面交叉口不宜小于20米（从路缘石转弯曲线的切点处起算）</w:t>
            </w:r>
          </w:p>
        </w:tc>
      </w:tr>
      <w:tr w14:paraId="186B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00B9F79E">
            <w:pPr>
              <w:spacing w:line="240" w:lineRule="auto"/>
              <w:ind w:firstLine="0" w:firstLineChars="0"/>
              <w:jc w:val="center"/>
              <w:rPr>
                <w:rFonts w:eastAsia="仿宋_GB2312"/>
                <w:sz w:val="28"/>
                <w:szCs w:val="21"/>
              </w:rPr>
            </w:pPr>
          </w:p>
        </w:tc>
        <w:tc>
          <w:tcPr>
            <w:tcW w:w="3933" w:type="dxa"/>
            <w:vAlign w:val="center"/>
          </w:tcPr>
          <w:p w14:paraId="04B3B1B0">
            <w:pPr>
              <w:spacing w:line="240" w:lineRule="auto"/>
              <w:ind w:firstLine="0" w:firstLineChars="0"/>
              <w:jc w:val="center"/>
              <w:rPr>
                <w:rFonts w:eastAsia="仿宋_GB2312"/>
                <w:sz w:val="28"/>
                <w:szCs w:val="21"/>
              </w:rPr>
            </w:pPr>
            <w:r>
              <w:rPr>
                <w:rFonts w:hint="eastAsia" w:eastAsia="仿宋_GB2312"/>
                <w:sz w:val="28"/>
                <w:szCs w:val="21"/>
              </w:rPr>
              <w:t>距人行横道、人行过街天桥、人行地道最边缘线的距离</w:t>
            </w:r>
          </w:p>
        </w:tc>
        <w:tc>
          <w:tcPr>
            <w:tcW w:w="3984" w:type="dxa"/>
            <w:vAlign w:val="center"/>
          </w:tcPr>
          <w:p w14:paraId="6940F845">
            <w:pPr>
              <w:spacing w:line="240" w:lineRule="auto"/>
              <w:ind w:firstLine="0" w:firstLineChars="0"/>
              <w:jc w:val="center"/>
              <w:rPr>
                <w:rFonts w:eastAsia="仿宋_GB2312"/>
                <w:sz w:val="28"/>
                <w:szCs w:val="21"/>
              </w:rPr>
            </w:pPr>
            <w:r>
              <w:rPr>
                <w:rFonts w:hint="eastAsia" w:eastAsia="仿宋_GB2312"/>
                <w:sz w:val="28"/>
                <w:szCs w:val="21"/>
              </w:rPr>
              <w:t>不应小于5米</w:t>
            </w:r>
          </w:p>
        </w:tc>
      </w:tr>
      <w:tr w14:paraId="7872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4384C418">
            <w:pPr>
              <w:spacing w:line="240" w:lineRule="auto"/>
              <w:ind w:firstLine="0" w:firstLineChars="0"/>
              <w:jc w:val="center"/>
              <w:rPr>
                <w:rFonts w:eastAsia="仿宋_GB2312"/>
                <w:sz w:val="28"/>
                <w:szCs w:val="21"/>
              </w:rPr>
            </w:pPr>
          </w:p>
        </w:tc>
        <w:tc>
          <w:tcPr>
            <w:tcW w:w="3933" w:type="dxa"/>
            <w:vAlign w:val="center"/>
          </w:tcPr>
          <w:p w14:paraId="2950A0B0">
            <w:pPr>
              <w:spacing w:line="240" w:lineRule="auto"/>
              <w:ind w:firstLine="0" w:firstLineChars="0"/>
              <w:jc w:val="center"/>
              <w:rPr>
                <w:rFonts w:eastAsia="仿宋_GB2312"/>
                <w:sz w:val="28"/>
                <w:szCs w:val="21"/>
              </w:rPr>
            </w:pPr>
            <w:r>
              <w:rPr>
                <w:rFonts w:hint="eastAsia" w:eastAsia="仿宋_GB2312"/>
                <w:sz w:val="28"/>
                <w:szCs w:val="21"/>
              </w:rPr>
              <w:t>距公共交通站台边缘的距离</w:t>
            </w:r>
          </w:p>
        </w:tc>
        <w:tc>
          <w:tcPr>
            <w:tcW w:w="3984" w:type="dxa"/>
            <w:vAlign w:val="center"/>
          </w:tcPr>
          <w:p w14:paraId="29CE7357">
            <w:pPr>
              <w:spacing w:line="240" w:lineRule="auto"/>
              <w:ind w:firstLine="0" w:firstLineChars="0"/>
              <w:jc w:val="center"/>
              <w:rPr>
                <w:rFonts w:eastAsia="仿宋_GB2312"/>
                <w:sz w:val="28"/>
                <w:szCs w:val="21"/>
              </w:rPr>
            </w:pPr>
            <w:r>
              <w:rPr>
                <w:rFonts w:hint="eastAsia" w:eastAsia="仿宋_GB2312"/>
                <w:sz w:val="28"/>
                <w:szCs w:val="21"/>
              </w:rPr>
              <w:t>不应小于15米</w:t>
            </w:r>
          </w:p>
        </w:tc>
      </w:tr>
      <w:tr w14:paraId="00EA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33B9835D">
            <w:pPr>
              <w:spacing w:line="240" w:lineRule="auto"/>
              <w:ind w:firstLine="0" w:firstLineChars="0"/>
              <w:jc w:val="center"/>
              <w:rPr>
                <w:rFonts w:eastAsia="仿宋_GB2312"/>
                <w:sz w:val="28"/>
                <w:szCs w:val="21"/>
              </w:rPr>
            </w:pPr>
          </w:p>
        </w:tc>
        <w:tc>
          <w:tcPr>
            <w:tcW w:w="3933" w:type="dxa"/>
            <w:vAlign w:val="center"/>
          </w:tcPr>
          <w:p w14:paraId="6FDE7740">
            <w:pPr>
              <w:spacing w:line="240" w:lineRule="auto"/>
              <w:ind w:firstLine="0" w:firstLineChars="0"/>
              <w:jc w:val="center"/>
              <w:rPr>
                <w:rFonts w:eastAsia="仿宋_GB2312"/>
                <w:sz w:val="28"/>
                <w:szCs w:val="21"/>
              </w:rPr>
            </w:pPr>
            <w:r>
              <w:rPr>
                <w:rFonts w:hint="eastAsia" w:eastAsia="仿宋_GB2312"/>
                <w:sz w:val="28"/>
                <w:szCs w:val="21"/>
              </w:rPr>
              <w:t>距公园、学校和有儿童、老年人、残疾人使用建筑的出入口的距离</w:t>
            </w:r>
          </w:p>
        </w:tc>
        <w:tc>
          <w:tcPr>
            <w:tcW w:w="3984" w:type="dxa"/>
            <w:vAlign w:val="center"/>
          </w:tcPr>
          <w:p w14:paraId="50F5B34B">
            <w:pPr>
              <w:spacing w:line="240" w:lineRule="auto"/>
              <w:ind w:firstLine="0" w:firstLineChars="0"/>
              <w:jc w:val="center"/>
              <w:rPr>
                <w:rFonts w:eastAsia="仿宋_GB2312"/>
                <w:sz w:val="28"/>
                <w:szCs w:val="21"/>
              </w:rPr>
            </w:pPr>
            <w:r>
              <w:rPr>
                <w:rFonts w:hint="eastAsia" w:eastAsia="仿宋_GB2312"/>
                <w:sz w:val="28"/>
                <w:szCs w:val="21"/>
              </w:rPr>
              <w:t>不应小于20米</w:t>
            </w:r>
          </w:p>
        </w:tc>
      </w:tr>
      <w:tr w14:paraId="68C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3DCF4A01">
            <w:pPr>
              <w:spacing w:line="240" w:lineRule="auto"/>
              <w:ind w:firstLine="0" w:firstLineChars="0"/>
              <w:jc w:val="center"/>
              <w:rPr>
                <w:rFonts w:eastAsia="仿宋_GB2312"/>
                <w:sz w:val="28"/>
                <w:szCs w:val="21"/>
              </w:rPr>
            </w:pPr>
          </w:p>
        </w:tc>
        <w:tc>
          <w:tcPr>
            <w:tcW w:w="3933" w:type="dxa"/>
            <w:vAlign w:val="center"/>
          </w:tcPr>
          <w:p w14:paraId="18F9B897">
            <w:pPr>
              <w:spacing w:line="240" w:lineRule="auto"/>
              <w:ind w:firstLine="0" w:firstLineChars="0"/>
              <w:jc w:val="center"/>
              <w:rPr>
                <w:rFonts w:eastAsia="仿宋_GB2312"/>
                <w:sz w:val="28"/>
                <w:szCs w:val="21"/>
              </w:rPr>
            </w:pPr>
            <w:r>
              <w:rPr>
                <w:rFonts w:hint="eastAsia" w:eastAsia="仿宋_GB2312"/>
                <w:sz w:val="28"/>
                <w:szCs w:val="21"/>
              </w:rPr>
              <w:t>距桥梁、隧道引道端点的距离</w:t>
            </w:r>
          </w:p>
        </w:tc>
        <w:tc>
          <w:tcPr>
            <w:tcW w:w="3984" w:type="dxa"/>
            <w:vAlign w:val="center"/>
          </w:tcPr>
          <w:p w14:paraId="19F67DAD">
            <w:pPr>
              <w:spacing w:line="240" w:lineRule="auto"/>
              <w:ind w:firstLine="0" w:firstLineChars="0"/>
              <w:jc w:val="center"/>
              <w:rPr>
                <w:rFonts w:eastAsia="仿宋_GB2312"/>
                <w:sz w:val="28"/>
                <w:szCs w:val="21"/>
              </w:rPr>
            </w:pPr>
            <w:r>
              <w:rPr>
                <w:rFonts w:hint="eastAsia" w:eastAsia="仿宋_GB2312"/>
                <w:sz w:val="28"/>
                <w:szCs w:val="21"/>
              </w:rPr>
              <w:t>不应小于50米</w:t>
            </w:r>
          </w:p>
        </w:tc>
      </w:tr>
      <w:tr w14:paraId="69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restart"/>
            <w:vAlign w:val="center"/>
          </w:tcPr>
          <w:p w14:paraId="0D256CCC">
            <w:pPr>
              <w:spacing w:line="240" w:lineRule="auto"/>
              <w:ind w:firstLine="0" w:firstLineChars="0"/>
              <w:jc w:val="center"/>
              <w:rPr>
                <w:rFonts w:eastAsia="仿宋_GB2312"/>
                <w:sz w:val="28"/>
                <w:szCs w:val="21"/>
              </w:rPr>
            </w:pPr>
            <w:r>
              <w:rPr>
                <w:rFonts w:hint="eastAsia" w:eastAsia="仿宋_GB2312"/>
                <w:sz w:val="28"/>
                <w:szCs w:val="21"/>
              </w:rPr>
              <w:t>出入口数量</w:t>
            </w:r>
          </w:p>
        </w:tc>
        <w:tc>
          <w:tcPr>
            <w:tcW w:w="3933" w:type="dxa"/>
            <w:vAlign w:val="center"/>
          </w:tcPr>
          <w:p w14:paraId="3E579A39">
            <w:pPr>
              <w:spacing w:line="240" w:lineRule="auto"/>
              <w:ind w:firstLine="0" w:firstLineChars="0"/>
              <w:jc w:val="center"/>
              <w:rPr>
                <w:rFonts w:eastAsia="仿宋_GB2312"/>
                <w:sz w:val="28"/>
                <w:szCs w:val="21"/>
              </w:rPr>
            </w:pPr>
            <w:r>
              <w:rPr>
                <w:rFonts w:hint="eastAsia" w:eastAsia="仿宋_GB2312"/>
                <w:sz w:val="28"/>
                <w:szCs w:val="21"/>
              </w:rPr>
              <w:t>建设项目临同一条道路机动车出入口</w:t>
            </w:r>
          </w:p>
        </w:tc>
        <w:tc>
          <w:tcPr>
            <w:tcW w:w="3984" w:type="dxa"/>
            <w:vAlign w:val="center"/>
          </w:tcPr>
          <w:p w14:paraId="264E9EE3">
            <w:pPr>
              <w:spacing w:line="240" w:lineRule="auto"/>
              <w:ind w:firstLine="0" w:firstLineChars="0"/>
              <w:jc w:val="center"/>
              <w:rPr>
                <w:rFonts w:eastAsia="仿宋_GB2312"/>
                <w:sz w:val="28"/>
                <w:szCs w:val="21"/>
              </w:rPr>
            </w:pPr>
            <w:r>
              <w:rPr>
                <w:rFonts w:hint="eastAsia" w:eastAsia="仿宋_GB2312"/>
                <w:sz w:val="28"/>
                <w:szCs w:val="21"/>
              </w:rPr>
              <w:t>宜开设1个出入口</w:t>
            </w:r>
          </w:p>
        </w:tc>
      </w:tr>
      <w:tr w14:paraId="6D6A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14:paraId="62BFEC68">
            <w:pPr>
              <w:spacing w:line="240" w:lineRule="auto"/>
              <w:ind w:firstLine="0" w:firstLineChars="0"/>
              <w:jc w:val="center"/>
              <w:rPr>
                <w:rFonts w:eastAsia="仿宋_GB2312"/>
                <w:sz w:val="28"/>
                <w:szCs w:val="21"/>
              </w:rPr>
            </w:pPr>
          </w:p>
        </w:tc>
        <w:tc>
          <w:tcPr>
            <w:tcW w:w="3933" w:type="dxa"/>
            <w:vAlign w:val="center"/>
          </w:tcPr>
          <w:p w14:paraId="365D2A07">
            <w:pPr>
              <w:spacing w:line="240" w:lineRule="auto"/>
              <w:ind w:firstLine="0" w:firstLineChars="0"/>
              <w:jc w:val="center"/>
              <w:rPr>
                <w:rFonts w:eastAsia="仿宋_GB2312"/>
                <w:sz w:val="28"/>
                <w:szCs w:val="21"/>
              </w:rPr>
            </w:pPr>
            <w:r>
              <w:rPr>
                <w:rFonts w:hint="eastAsia" w:eastAsia="仿宋_GB2312"/>
                <w:sz w:val="28"/>
                <w:szCs w:val="21"/>
              </w:rPr>
              <w:t>相邻建设项目机动车出入口间距</w:t>
            </w:r>
          </w:p>
        </w:tc>
        <w:tc>
          <w:tcPr>
            <w:tcW w:w="3984" w:type="dxa"/>
            <w:vAlign w:val="center"/>
          </w:tcPr>
          <w:p w14:paraId="4F1261FF">
            <w:pPr>
              <w:spacing w:line="240" w:lineRule="auto"/>
              <w:ind w:firstLine="0" w:firstLineChars="0"/>
              <w:jc w:val="center"/>
              <w:rPr>
                <w:rFonts w:eastAsia="仿宋_GB2312"/>
                <w:sz w:val="28"/>
                <w:szCs w:val="21"/>
              </w:rPr>
            </w:pPr>
            <w:r>
              <w:rPr>
                <w:rFonts w:hint="eastAsia" w:eastAsia="仿宋_GB2312"/>
                <w:sz w:val="28"/>
                <w:szCs w:val="21"/>
              </w:rPr>
              <w:t>不大于50米的，应</w:t>
            </w:r>
            <w:r>
              <w:rPr>
                <w:rFonts w:hint="eastAsia" w:eastAsia="仿宋_GB2312"/>
                <w:sz w:val="28"/>
                <w:szCs w:val="21"/>
                <w:lang w:eastAsia="zh-CN"/>
              </w:rPr>
              <w:t>有</w:t>
            </w:r>
            <w:r>
              <w:rPr>
                <w:rFonts w:hint="eastAsia" w:eastAsia="仿宋_GB2312"/>
                <w:sz w:val="28"/>
                <w:szCs w:val="21"/>
              </w:rPr>
              <w:t>1个出入口</w:t>
            </w:r>
          </w:p>
        </w:tc>
      </w:tr>
    </w:tbl>
    <w:p w14:paraId="6ADB553E">
      <w:pPr>
        <w:spacing w:before="160" w:after="160"/>
        <w:ind w:firstLine="560"/>
        <w:rPr>
          <w:sz w:val="28"/>
          <w:szCs w:val="22"/>
        </w:rPr>
      </w:pPr>
      <w:r>
        <w:rPr>
          <w:rFonts w:hint="eastAsia"/>
          <w:sz w:val="28"/>
          <w:szCs w:val="22"/>
        </w:rPr>
        <w:t>注：1</w:t>
      </w:r>
      <w:r>
        <w:rPr>
          <w:rFonts w:hint="eastAsia" w:ascii="宋体" w:hAnsi="宋体" w:eastAsia="宋体" w:cs="宋体"/>
          <w:sz w:val="28"/>
          <w:szCs w:val="22"/>
        </w:rPr>
        <w:t>.</w:t>
      </w:r>
      <w:r>
        <w:rPr>
          <w:rFonts w:hint="eastAsia"/>
          <w:sz w:val="28"/>
          <w:szCs w:val="22"/>
        </w:rPr>
        <w:t>对于地块邻路边长度不足或地块形状畸形等原因导致未能满足以上距离要求的，机动车出入口应结合交通影响评价分析合理设在地块离交叉口的最远端。</w:t>
      </w:r>
    </w:p>
    <w:p w14:paraId="5B4BCAA6">
      <w:pPr>
        <w:spacing w:before="160" w:after="160"/>
        <w:ind w:firstLine="560"/>
      </w:pPr>
      <w:r>
        <w:rPr>
          <w:rFonts w:hint="eastAsia"/>
          <w:sz w:val="28"/>
          <w:szCs w:val="22"/>
        </w:rPr>
        <w:t>2</w:t>
      </w:r>
      <w:r>
        <w:rPr>
          <w:rFonts w:hint="eastAsia" w:ascii="宋体" w:hAnsi="宋体" w:eastAsia="宋体" w:cs="宋体"/>
          <w:sz w:val="28"/>
          <w:szCs w:val="22"/>
        </w:rPr>
        <w:t>.</w:t>
      </w:r>
      <w:r>
        <w:rPr>
          <w:rFonts w:hint="eastAsia"/>
          <w:sz w:val="28"/>
          <w:szCs w:val="22"/>
        </w:rPr>
        <w:t>地块机动车出入口宽度原则上不大于7米，工业、仓储用地机动车出入口宽度原则上不大于12米，有大型货运车辆通行需求的工业、仓储项目，可适当加大至15米。</w:t>
      </w:r>
      <w:bookmarkEnd w:id="61"/>
    </w:p>
    <w:p w14:paraId="285B5DEB">
      <w:pPr>
        <w:ind w:firstLine="0" w:firstLineChars="0"/>
      </w:pPr>
    </w:p>
    <w:p w14:paraId="677013FD">
      <w:pPr>
        <w:pStyle w:val="29"/>
        <w:rPr>
          <w:rFonts w:asciiTheme="minorEastAsia" w:hAnsiTheme="minorEastAsia" w:eastAsiaTheme="minorEastAsia" w:cstheme="minorEastAsia"/>
          <w:sz w:val="28"/>
          <w:szCs w:val="28"/>
        </w:rPr>
        <w:sectPr>
          <w:footerReference r:id="rId29" w:type="default"/>
          <w:footerReference r:id="rId30" w:type="even"/>
          <w:pgSz w:w="11906" w:h="16838"/>
          <w:pgMar w:top="2098" w:right="1474" w:bottom="1985" w:left="1588" w:header="851" w:footer="992" w:gutter="0"/>
          <w:pgNumType w:fmt="numberInDash" w:start="40"/>
          <w:cols w:space="425" w:num="1"/>
          <w:docGrid w:type="lines" w:linePitch="312" w:charSpace="0"/>
        </w:sectPr>
      </w:pPr>
    </w:p>
    <w:p w14:paraId="227AE549">
      <w:pPr>
        <w:pStyle w:val="29"/>
        <w:rPr>
          <w:rFonts w:asciiTheme="minorEastAsia" w:hAnsiTheme="minorEastAsia" w:eastAsiaTheme="minorEastAsia" w:cstheme="minorEastAsia"/>
          <w:sz w:val="28"/>
          <w:szCs w:val="28"/>
        </w:rPr>
        <w:sectPr>
          <w:pgSz w:w="11906" w:h="16838"/>
          <w:pgMar w:top="2098" w:right="1474" w:bottom="1985" w:left="1588" w:header="851" w:footer="992" w:gutter="0"/>
          <w:pgNumType w:fmt="numberInDash" w:start="36"/>
          <w:cols w:space="425" w:num="1"/>
          <w:docGrid w:type="lines" w:linePitch="312" w:charSpace="0"/>
        </w:sectPr>
      </w:pPr>
      <w:r>
        <w:rPr>
          <w:sz w:val="32"/>
        </w:rPr>
        <w:pict>
          <v:shape id="_x0000_s2065" o:spid="_x0000_s2065" o:spt="100" style="position:absolute;left:0pt;margin-left:263.5pt;margin-top:135.5pt;height:0pt;width:169.8pt;z-index:25172684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AAL915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pict>
          <v:shape id="_x0000_s2064" o:spid="_x0000_s2064" o:spt="100" style="position:absolute;left:0pt;margin-left:432.85pt;margin-top:-104.55pt;height:840.8pt;width:0pt;z-index:251727872;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Jc5hs2gAAAA0BAAAPAAAAAAAAAAEAIAAAACIAAABkcnMvZG93bnJldi54bWxQ&#10;SwECFAAUAAAACACHTuJAeze1x6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rPr>
          <w:sz w:val="32"/>
        </w:rPr>
        <w:pict>
          <v:rect id="_x0000_s2063" o:spid="_x0000_s2063" o:spt="1" style="position:absolute;left:0pt;margin-left:-67.4pt;margin-top:-92.75pt;height:846.05pt;width:599pt;z-index:251723776;v-text-anchor:middle;mso-width-relative:page;mso-height-relative:page;" fillcolor="#DEEBF7" filled="t" stroked="f" coordsize="21600,21600" o:gfxdata="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rOl7HYAAAADwEAAA8A&#10;AAAAAAAAAQAgAAAAIgAAAGRycy9kb3ducmV2LnhtbFBLAQIUABQAAAAIAIdO4kC+U1kGiQIAAAgF&#10;AAAOAAAAAAAAAAEAIAAAACcBAABkcnMvZTJvRG9jLnhtbFBLBQYAAAAABgAGAFkBAAAiBgAAAAA=&#10;">
            <v:path/>
            <v:fill on="t" focussize="0,0"/>
            <v:stroke on="f" weight="1pt"/>
            <v:imagedata o:title=""/>
            <o:lock v:ext="edit"/>
          </v:rect>
        </w:pict>
      </w:r>
      <w:r>
        <w:rPr>
          <w:sz w:val="32"/>
        </w:rPr>
        <w:pict>
          <v:shape id="_x0000_s2062" o:spid="_x0000_s2062" o:spt="202" type="#_x0000_t202" style="position:absolute;left:0pt;margin-left:263.1pt;margin-top:97.65pt;height:100.15pt;width:166.05pt;z-index:251725824;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2O0J2wAAAAsBAAAPAAAAAAAAAAEAIAAAACIA&#10;AABkcnMvZG93bnJldi54bWxQSwECFAAUAAAACACHTuJAy1ocXD8CAABpBAAADgAAAAAAAAABACAA&#10;AAAqAQAAZHJzL2Uyb0RvYy54bWxQSwUGAAAAAAYABgBZAQAA2wUAAAAA&#10;">
            <v:path/>
            <v:fill on="f" focussize="0,0"/>
            <v:stroke on="f" weight="0.5pt" joinstyle="miter"/>
            <v:imagedata o:title=""/>
            <o:lock v:ext="edit"/>
            <v:textbox>
              <w:txbxContent>
                <w:p w14:paraId="7DA2A72F">
                  <w:pPr>
                    <w:spacing w:line="640" w:lineRule="exact"/>
                    <w:ind w:firstLine="880"/>
                    <w:rPr>
                      <w:rFonts w:ascii="黑体" w:hAnsi="黑体" w:eastAsia="黑体" w:cs="黑体"/>
                      <w:sz w:val="44"/>
                      <w:szCs w:val="36"/>
                    </w:rPr>
                  </w:pPr>
                  <w:r>
                    <w:rPr>
                      <w:rFonts w:hint="eastAsia" w:ascii="黑体" w:hAnsi="黑体" w:eastAsia="黑体" w:cs="黑体"/>
                      <w:sz w:val="44"/>
                      <w:szCs w:val="36"/>
                    </w:rPr>
                    <w:t>第六章</w:t>
                  </w:r>
                </w:p>
                <w:p w14:paraId="485395E6">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市政设施</w:t>
                  </w:r>
                </w:p>
              </w:txbxContent>
            </v:textbox>
          </v:shape>
        </w:pict>
      </w:r>
      <w:r>
        <w:rPr>
          <w:sz w:val="32"/>
        </w:rPr>
        <w:pict>
          <v:rect id="_x0000_s2061" o:spid="_x0000_s2061" o:spt="1" style="position:absolute;left:0pt;margin-left:-78.95pt;margin-top:173.4pt;height:23.4pt;width:595.3pt;z-index:25172480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jx4oRYY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gnTZjbAAAADQEAAA8A&#10;AAAAAAAAAQAgAAAAIgAAAGRycy9kb3ducmV2LnhtbFBLAQIUABQAAAAIAIdO4kCPHihFhgIAAAYF&#10;AAAOAAAAAAAAAAEAIAAAACoBAABkcnMvZTJvRG9jLnhtbFBLBQYAAAAABgAGAFkBAAAiBgAAAAA=&#10;">
            <v:path/>
            <v:fill on="t" focussize="0,0"/>
            <v:stroke on="f" weight="1pt"/>
            <v:imagedata o:title=""/>
            <o:lock v:ext="edit"/>
          </v:rect>
        </w:pict>
      </w:r>
      <w:r>
        <w:pict>
          <v:rect id="_x0000_s2060" o:spid="_x0000_s2060" o:spt="1" style="position:absolute;left:0pt;margin-left:-78.7pt;margin-top:-104.05pt;height:846.05pt;width:599pt;z-index:251701248;v-text-anchor:middle;mso-width-relative:page;mso-height-relative:page;" fillcolor="#DEEBF7" filled="t" stroked="f" coordsize="21600,21600" o:gfxdata="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cXNgAAAAPAQAADwAA&#10;AAAAAAABACAAAAAiAAAAZHJzL2Rvd25yZXYueG1sUEsBAhQAFAAAAAgAh07iQOVGL1aIAgAACAUA&#10;AA4AAAAAAAAAAQAgAAAAJwEAAGRycy9lMm9Eb2MueG1sUEsFBgAAAAAGAAYAWQEAACEGAAAAAA==&#10;">
            <v:path/>
            <v:fill on="t" focussize="0,0"/>
            <v:stroke on="f" weight="1pt"/>
            <v:imagedata o:title=""/>
            <o:lock v:ext="edit"/>
          </v:rect>
        </w:pict>
      </w:r>
    </w:p>
    <w:p w14:paraId="31CDE15D">
      <w:pPr>
        <w:pStyle w:val="47"/>
        <w:jc w:val="center"/>
        <w:rPr>
          <w:rFonts w:hint="default"/>
          <w:sz w:val="36"/>
          <w:szCs w:val="28"/>
        </w:rPr>
      </w:pPr>
      <w:bookmarkStart w:id="62" w:name="_Toc20496"/>
      <w:bookmarkStart w:id="63" w:name="_Toc28612"/>
      <w:r>
        <w:rPr>
          <w:sz w:val="36"/>
          <w:szCs w:val="28"/>
        </w:rPr>
        <w:t>第六章市政设施</w:t>
      </w:r>
      <w:bookmarkEnd w:id="62"/>
    </w:p>
    <w:p w14:paraId="4748282B">
      <w:pPr>
        <w:pStyle w:val="47"/>
        <w:ind w:firstLine="640" w:firstLineChars="200"/>
        <w:outlineLvl w:val="1"/>
        <w:rPr>
          <w:rFonts w:hint="default"/>
        </w:rPr>
      </w:pPr>
      <w:bookmarkStart w:id="64" w:name="_Toc23190"/>
      <w:r>
        <w:t>一、一般规定</w:t>
      </w:r>
      <w:bookmarkEnd w:id="64"/>
    </w:p>
    <w:p w14:paraId="14CF5272">
      <w:pPr>
        <w:ind w:firstLine="640"/>
      </w:pPr>
      <w:bookmarkStart w:id="65" w:name="_Toc25826"/>
      <w:r>
        <w:rPr>
          <w:rFonts w:hint="eastAsia"/>
        </w:rPr>
        <w:t>凡在城市规划区内新建、扩建、改建道路、铁路、桥梁、涵洞、人防工程、架（敷）设电力、</w:t>
      </w:r>
      <w:r>
        <w:rPr>
          <w:rFonts w:hint="eastAsia"/>
          <w:lang w:eastAsia="zh-CN"/>
        </w:rPr>
        <w:t>电信</w:t>
      </w:r>
      <w:r>
        <w:rPr>
          <w:rFonts w:hint="eastAsia"/>
        </w:rPr>
        <w:t>线路，设置微波通道、给水、排水、煤气管道、开辟停车场、设置出入口等，除符合下列规定外还必须符合国家现行的专业技术标准、规范、规定和条例。</w:t>
      </w:r>
      <w:bookmarkEnd w:id="65"/>
    </w:p>
    <w:p w14:paraId="106B5B3D">
      <w:pPr>
        <w:pStyle w:val="47"/>
        <w:ind w:firstLine="640" w:firstLineChars="200"/>
        <w:outlineLvl w:val="1"/>
        <w:rPr>
          <w:rFonts w:hint="default"/>
        </w:rPr>
      </w:pPr>
      <w:bookmarkStart w:id="66" w:name="_Toc200810636"/>
      <w:bookmarkStart w:id="67" w:name="_Toc11379"/>
      <w:r>
        <w:t>二、公路及铁路</w:t>
      </w:r>
      <w:bookmarkEnd w:id="66"/>
      <w:bookmarkEnd w:id="67"/>
    </w:p>
    <w:p w14:paraId="1D78D0CB">
      <w:pPr>
        <w:ind w:firstLine="640"/>
      </w:pPr>
      <w:r>
        <w:rPr>
          <w:rFonts w:hint="eastAsia"/>
        </w:rPr>
        <w:t>公路、铁路两侧应设置隔离带，隔离带内不得新建、扩建、改建与设施无关的任何建筑物，根据《城市对外交通规划规范</w:t>
      </w:r>
      <w:r>
        <w:t>GB20925-2013</w:t>
      </w:r>
      <w:r>
        <w:rPr>
          <w:rFonts w:hint="eastAsia"/>
        </w:rPr>
        <w:t>》，具体要求如下：</w:t>
      </w:r>
    </w:p>
    <w:p w14:paraId="341F4336">
      <w:pPr>
        <w:pStyle w:val="51"/>
        <w:spacing w:beforeLines="100"/>
        <w:rPr>
          <w:rFonts w:hint="default"/>
        </w:rPr>
      </w:pPr>
      <w:r>
        <w:t>表12 公路红线宽度和两侧隔离带规划控制宽度要求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781"/>
        <w:gridCol w:w="4570"/>
      </w:tblGrid>
      <w:tr w14:paraId="0626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62664CC8">
            <w:pPr>
              <w:pStyle w:val="51"/>
              <w:rPr>
                <w:rFonts w:hint="default"/>
              </w:rPr>
            </w:pPr>
            <w:r>
              <w:t>公路等级</w:t>
            </w:r>
          </w:p>
        </w:tc>
        <w:tc>
          <w:tcPr>
            <w:tcW w:w="1535" w:type="pct"/>
            <w:noWrap/>
            <w:vAlign w:val="center"/>
          </w:tcPr>
          <w:p w14:paraId="1EB24843">
            <w:pPr>
              <w:pStyle w:val="51"/>
              <w:rPr>
                <w:rFonts w:hint="default"/>
              </w:rPr>
            </w:pPr>
            <w:r>
              <w:t>红线宽度（米）</w:t>
            </w:r>
          </w:p>
        </w:tc>
        <w:tc>
          <w:tcPr>
            <w:tcW w:w="2522" w:type="pct"/>
            <w:noWrap/>
            <w:vAlign w:val="center"/>
          </w:tcPr>
          <w:p w14:paraId="4E7C672C">
            <w:pPr>
              <w:pStyle w:val="51"/>
              <w:rPr>
                <w:rFonts w:hint="default"/>
              </w:rPr>
            </w:pPr>
            <w:r>
              <w:t>两侧隔离带控制宽度（米）</w:t>
            </w:r>
          </w:p>
        </w:tc>
      </w:tr>
      <w:tr w14:paraId="5E72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6A196636">
            <w:pPr>
              <w:pStyle w:val="51"/>
              <w:rPr>
                <w:rFonts w:hint="default"/>
              </w:rPr>
            </w:pPr>
            <w:r>
              <w:t>高速公路</w:t>
            </w:r>
          </w:p>
        </w:tc>
        <w:tc>
          <w:tcPr>
            <w:tcW w:w="1535" w:type="pct"/>
            <w:noWrap/>
            <w:vAlign w:val="center"/>
          </w:tcPr>
          <w:p w14:paraId="3D6BF263">
            <w:pPr>
              <w:pStyle w:val="51"/>
              <w:rPr>
                <w:rFonts w:hint="default"/>
              </w:rPr>
            </w:pPr>
            <w:r>
              <w:t>40-60</w:t>
            </w:r>
          </w:p>
        </w:tc>
        <w:tc>
          <w:tcPr>
            <w:tcW w:w="2522" w:type="pct"/>
            <w:noWrap/>
            <w:vAlign w:val="center"/>
          </w:tcPr>
          <w:p w14:paraId="3C52B166">
            <w:pPr>
              <w:pStyle w:val="51"/>
              <w:rPr>
                <w:rFonts w:hint="default"/>
              </w:rPr>
            </w:pPr>
            <w:r>
              <w:t>20-50</w:t>
            </w:r>
          </w:p>
        </w:tc>
      </w:tr>
      <w:tr w14:paraId="41CD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228E42EB">
            <w:pPr>
              <w:pStyle w:val="51"/>
              <w:rPr>
                <w:rFonts w:hint="default"/>
              </w:rPr>
            </w:pPr>
            <w:r>
              <w:t>一级公路</w:t>
            </w:r>
          </w:p>
        </w:tc>
        <w:tc>
          <w:tcPr>
            <w:tcW w:w="1535" w:type="pct"/>
            <w:noWrap/>
            <w:vAlign w:val="center"/>
          </w:tcPr>
          <w:p w14:paraId="3F6A7141">
            <w:pPr>
              <w:pStyle w:val="51"/>
              <w:rPr>
                <w:rFonts w:hint="default"/>
              </w:rPr>
            </w:pPr>
            <w:r>
              <w:t>30-50</w:t>
            </w:r>
          </w:p>
        </w:tc>
        <w:tc>
          <w:tcPr>
            <w:tcW w:w="2522" w:type="pct"/>
            <w:noWrap/>
            <w:vAlign w:val="center"/>
          </w:tcPr>
          <w:p w14:paraId="4E0967FA">
            <w:pPr>
              <w:pStyle w:val="51"/>
              <w:rPr>
                <w:rFonts w:hint="default"/>
              </w:rPr>
            </w:pPr>
            <w:r>
              <w:t>10-30</w:t>
            </w:r>
          </w:p>
        </w:tc>
      </w:tr>
      <w:tr w14:paraId="5B3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131CB138">
            <w:pPr>
              <w:pStyle w:val="51"/>
              <w:rPr>
                <w:rFonts w:hint="default"/>
              </w:rPr>
            </w:pPr>
            <w:r>
              <w:t>二级公路</w:t>
            </w:r>
          </w:p>
        </w:tc>
        <w:tc>
          <w:tcPr>
            <w:tcW w:w="1535" w:type="pct"/>
            <w:noWrap/>
            <w:vAlign w:val="center"/>
          </w:tcPr>
          <w:p w14:paraId="28AF8AA3">
            <w:pPr>
              <w:pStyle w:val="51"/>
              <w:rPr>
                <w:rFonts w:hint="default"/>
              </w:rPr>
            </w:pPr>
            <w:r>
              <w:t>20-40</w:t>
            </w:r>
          </w:p>
        </w:tc>
        <w:tc>
          <w:tcPr>
            <w:tcW w:w="2522" w:type="pct"/>
            <w:noWrap/>
            <w:vAlign w:val="center"/>
          </w:tcPr>
          <w:p w14:paraId="5B370C1C">
            <w:pPr>
              <w:pStyle w:val="51"/>
              <w:rPr>
                <w:rFonts w:hint="default"/>
              </w:rPr>
            </w:pPr>
            <w:r>
              <w:t>10-20</w:t>
            </w:r>
          </w:p>
        </w:tc>
      </w:tr>
      <w:tr w14:paraId="6671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52CAB397">
            <w:pPr>
              <w:pStyle w:val="51"/>
              <w:rPr>
                <w:rFonts w:hint="default"/>
              </w:rPr>
            </w:pPr>
            <w:r>
              <w:t>三级公路</w:t>
            </w:r>
          </w:p>
        </w:tc>
        <w:tc>
          <w:tcPr>
            <w:tcW w:w="1535" w:type="pct"/>
            <w:noWrap/>
            <w:vAlign w:val="center"/>
          </w:tcPr>
          <w:p w14:paraId="25CCD861">
            <w:pPr>
              <w:pStyle w:val="51"/>
              <w:rPr>
                <w:rFonts w:hint="default"/>
              </w:rPr>
            </w:pPr>
            <w:r>
              <w:t>10-24</w:t>
            </w:r>
          </w:p>
        </w:tc>
        <w:tc>
          <w:tcPr>
            <w:tcW w:w="2522" w:type="pct"/>
            <w:noWrap/>
            <w:vAlign w:val="center"/>
          </w:tcPr>
          <w:p w14:paraId="63ED8E5C">
            <w:pPr>
              <w:pStyle w:val="51"/>
              <w:rPr>
                <w:rFonts w:hint="default"/>
              </w:rPr>
            </w:pPr>
            <w:r>
              <w:t>5-10</w:t>
            </w:r>
          </w:p>
        </w:tc>
      </w:tr>
      <w:tr w14:paraId="322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14:paraId="3A69FF6F">
            <w:pPr>
              <w:pStyle w:val="51"/>
              <w:rPr>
                <w:rFonts w:hint="default"/>
              </w:rPr>
            </w:pPr>
            <w:r>
              <w:t>四级公路</w:t>
            </w:r>
          </w:p>
        </w:tc>
        <w:tc>
          <w:tcPr>
            <w:tcW w:w="1535" w:type="pct"/>
            <w:noWrap/>
            <w:vAlign w:val="center"/>
          </w:tcPr>
          <w:p w14:paraId="58A678DF">
            <w:pPr>
              <w:pStyle w:val="51"/>
              <w:rPr>
                <w:rFonts w:hint="default"/>
              </w:rPr>
            </w:pPr>
            <w:r>
              <w:t>8-10</w:t>
            </w:r>
          </w:p>
        </w:tc>
        <w:tc>
          <w:tcPr>
            <w:tcW w:w="2522" w:type="pct"/>
            <w:noWrap/>
            <w:vAlign w:val="center"/>
          </w:tcPr>
          <w:p w14:paraId="661B47D6">
            <w:pPr>
              <w:pStyle w:val="51"/>
              <w:rPr>
                <w:rFonts w:hint="default"/>
              </w:rPr>
            </w:pPr>
            <w:r>
              <w:t>2-5</w:t>
            </w:r>
          </w:p>
        </w:tc>
      </w:tr>
    </w:tbl>
    <w:p w14:paraId="75641F2C">
      <w:pPr>
        <w:pStyle w:val="51"/>
        <w:spacing w:beforeLines="100"/>
        <w:rPr>
          <w:rFonts w:hint="default"/>
        </w:rPr>
      </w:pPr>
      <w:r>
        <w:t>表13 铁路两侧隔离带规划控制宽度要求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6456"/>
      </w:tblGrid>
      <w:tr w14:paraId="0BE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14:paraId="25AA2508">
            <w:pPr>
              <w:pStyle w:val="51"/>
              <w:rPr>
                <w:rFonts w:hint="default"/>
              </w:rPr>
            </w:pPr>
            <w:r>
              <w:t>铁路等级</w:t>
            </w:r>
          </w:p>
        </w:tc>
        <w:tc>
          <w:tcPr>
            <w:tcW w:w="3563" w:type="pct"/>
            <w:noWrap/>
            <w:vAlign w:val="center"/>
          </w:tcPr>
          <w:p w14:paraId="575F42D2">
            <w:pPr>
              <w:pStyle w:val="51"/>
              <w:rPr>
                <w:rFonts w:hint="default"/>
              </w:rPr>
            </w:pPr>
            <w:r>
              <w:t>两侧隔离带控制宽度</w:t>
            </w:r>
          </w:p>
        </w:tc>
      </w:tr>
      <w:tr w14:paraId="26B7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14:paraId="3380D62A">
            <w:pPr>
              <w:pStyle w:val="51"/>
              <w:rPr>
                <w:rFonts w:hint="default"/>
              </w:rPr>
            </w:pPr>
            <w:r>
              <w:t>高速铁路</w:t>
            </w:r>
          </w:p>
        </w:tc>
        <w:tc>
          <w:tcPr>
            <w:tcW w:w="3563" w:type="pct"/>
            <w:noWrap/>
            <w:vAlign w:val="center"/>
          </w:tcPr>
          <w:p w14:paraId="3BC54F6C">
            <w:pPr>
              <w:pStyle w:val="51"/>
              <w:rPr>
                <w:rFonts w:hint="default"/>
              </w:rPr>
            </w:pPr>
            <w:r>
              <w:t>应从外侧轨道中心线向外不小于50米</w:t>
            </w:r>
          </w:p>
        </w:tc>
      </w:tr>
      <w:tr w14:paraId="6D26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14:paraId="7E893D5E">
            <w:pPr>
              <w:pStyle w:val="51"/>
              <w:rPr>
                <w:rFonts w:hint="default"/>
              </w:rPr>
            </w:pPr>
            <w:r>
              <w:t>普速铁路干线</w:t>
            </w:r>
          </w:p>
        </w:tc>
        <w:tc>
          <w:tcPr>
            <w:tcW w:w="3563" w:type="pct"/>
            <w:noWrap/>
            <w:vAlign w:val="center"/>
          </w:tcPr>
          <w:p w14:paraId="1E44119E">
            <w:pPr>
              <w:pStyle w:val="51"/>
              <w:rPr>
                <w:rFonts w:hint="default"/>
              </w:rPr>
            </w:pPr>
            <w:r>
              <w:t>应从外侧轨道中心线向外不小于20米</w:t>
            </w:r>
          </w:p>
        </w:tc>
      </w:tr>
      <w:tr w14:paraId="4DDF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14:paraId="7699EC69">
            <w:pPr>
              <w:pStyle w:val="51"/>
              <w:rPr>
                <w:rFonts w:hint="default"/>
              </w:rPr>
            </w:pPr>
            <w:r>
              <w:t>其他线路</w:t>
            </w:r>
          </w:p>
        </w:tc>
        <w:tc>
          <w:tcPr>
            <w:tcW w:w="3563" w:type="pct"/>
            <w:noWrap/>
            <w:vAlign w:val="center"/>
          </w:tcPr>
          <w:p w14:paraId="77A5A7D3">
            <w:pPr>
              <w:pStyle w:val="51"/>
              <w:rPr>
                <w:rFonts w:hint="default"/>
              </w:rPr>
            </w:pPr>
            <w:r>
              <w:t>应从外侧轨道中心线向外不小于15米</w:t>
            </w:r>
          </w:p>
        </w:tc>
      </w:tr>
    </w:tbl>
    <w:p w14:paraId="409F6E99">
      <w:pPr>
        <w:ind w:firstLine="640"/>
      </w:pPr>
      <w:r>
        <w:rPr>
          <w:rFonts w:hint="eastAsia"/>
        </w:rPr>
        <w:t>在公路、铁路隔离带内，经城乡规划行政主管部门及有关部门批准，建设单位可以开挖沟渠、敷设管道、架设杆线和开辟服务性车道等。</w:t>
      </w:r>
    </w:p>
    <w:p w14:paraId="0C2E1DA4">
      <w:pPr>
        <w:pStyle w:val="47"/>
        <w:ind w:firstLine="640" w:firstLineChars="200"/>
        <w:outlineLvl w:val="1"/>
        <w:rPr>
          <w:rFonts w:hint="default"/>
        </w:rPr>
      </w:pPr>
      <w:bookmarkStart w:id="68" w:name="_Toc200810637"/>
      <w:bookmarkStart w:id="69" w:name="_Toc22206"/>
      <w:r>
        <w:t>三、架空电力线</w:t>
      </w:r>
      <w:bookmarkEnd w:id="68"/>
      <w:bookmarkEnd w:id="69"/>
    </w:p>
    <w:p w14:paraId="391D26F2">
      <w:pPr>
        <w:ind w:right="17" w:firstLine="640"/>
      </w:pPr>
      <w:r>
        <w:rPr>
          <w:rFonts w:hint="eastAsia"/>
        </w:rPr>
        <w:t>架空电力线路安全保护范围内不得新建任何建（构）筑物，具体标准如下：</w:t>
      </w:r>
    </w:p>
    <w:p w14:paraId="2737F675">
      <w:pPr>
        <w:ind w:right="17" w:firstLine="640"/>
        <w:rPr>
          <w:rFonts w:eastAsia="仿宋_GB2312"/>
          <w:szCs w:val="32"/>
        </w:rPr>
      </w:pPr>
      <w:r>
        <w:rPr>
          <w:rFonts w:hint="eastAsia" w:eastAsia="仿宋_GB2312"/>
          <w:szCs w:val="32"/>
        </w:rPr>
        <w:t>最小水平净距（边导线对建筑物）：</w:t>
      </w:r>
    </w:p>
    <w:p w14:paraId="07435BF5">
      <w:pPr>
        <w:ind w:right="17" w:firstLine="640"/>
        <w:rPr>
          <w:rFonts w:eastAsia="仿宋_GB2312"/>
          <w:szCs w:val="32"/>
        </w:rPr>
      </w:pPr>
      <w:r>
        <w:rPr>
          <w:rFonts w:eastAsia="仿宋_GB2312"/>
          <w:szCs w:val="32"/>
        </w:rPr>
        <w:t>110</w:t>
      </w:r>
      <w:r>
        <w:rPr>
          <w:rFonts w:hint="eastAsia" w:eastAsia="仿宋_GB2312"/>
          <w:szCs w:val="32"/>
        </w:rPr>
        <w:t>千伏</w:t>
      </w:r>
      <w:r>
        <w:rPr>
          <w:rFonts w:eastAsia="仿宋_GB2312"/>
          <w:szCs w:val="32"/>
        </w:rPr>
        <w:t xml:space="preserve">                        4.0m</w:t>
      </w:r>
    </w:p>
    <w:p w14:paraId="03CFA0EE">
      <w:pPr>
        <w:ind w:right="17" w:firstLine="640"/>
        <w:rPr>
          <w:rFonts w:eastAsia="仿宋_GB2312"/>
          <w:szCs w:val="32"/>
        </w:rPr>
      </w:pPr>
      <w:r>
        <w:rPr>
          <w:rFonts w:eastAsia="仿宋_GB2312"/>
          <w:szCs w:val="32"/>
        </w:rPr>
        <w:t>220</w:t>
      </w:r>
      <w:r>
        <w:rPr>
          <w:rFonts w:hint="eastAsia" w:eastAsia="仿宋_GB2312"/>
          <w:szCs w:val="32"/>
        </w:rPr>
        <w:t>千伏</w:t>
      </w:r>
      <w:r>
        <w:rPr>
          <w:rFonts w:eastAsia="仿宋_GB2312"/>
          <w:szCs w:val="32"/>
        </w:rPr>
        <w:t xml:space="preserve">                        5.0m</w:t>
      </w:r>
    </w:p>
    <w:p w14:paraId="40717FA2">
      <w:pPr>
        <w:ind w:right="17" w:firstLine="640"/>
        <w:rPr>
          <w:rFonts w:eastAsia="仿宋_GB2312"/>
          <w:szCs w:val="32"/>
        </w:rPr>
      </w:pPr>
      <w:r>
        <w:rPr>
          <w:rFonts w:eastAsia="仿宋_GB2312"/>
          <w:szCs w:val="32"/>
        </w:rPr>
        <w:t>330</w:t>
      </w:r>
      <w:r>
        <w:rPr>
          <w:rFonts w:hint="eastAsia" w:eastAsia="仿宋_GB2312"/>
          <w:szCs w:val="32"/>
        </w:rPr>
        <w:t>千伏</w:t>
      </w:r>
      <w:r>
        <w:rPr>
          <w:rFonts w:eastAsia="仿宋_GB2312"/>
          <w:szCs w:val="32"/>
        </w:rPr>
        <w:t xml:space="preserve">                        6.0m</w:t>
      </w:r>
    </w:p>
    <w:p w14:paraId="76C11CB4">
      <w:pPr>
        <w:ind w:right="17" w:firstLine="640"/>
        <w:rPr>
          <w:rFonts w:eastAsia="仿宋_GB2312"/>
          <w:szCs w:val="32"/>
        </w:rPr>
      </w:pPr>
      <w:r>
        <w:rPr>
          <w:rFonts w:eastAsia="仿宋_GB2312"/>
          <w:szCs w:val="32"/>
        </w:rPr>
        <w:t>500</w:t>
      </w:r>
      <w:r>
        <w:rPr>
          <w:rFonts w:hint="eastAsia" w:eastAsia="仿宋_GB2312"/>
          <w:szCs w:val="32"/>
        </w:rPr>
        <w:t>千伏</w:t>
      </w:r>
      <w:r>
        <w:rPr>
          <w:rFonts w:eastAsia="仿宋_GB2312"/>
          <w:szCs w:val="32"/>
        </w:rPr>
        <w:t xml:space="preserve">                        8.5m</w:t>
      </w:r>
    </w:p>
    <w:p w14:paraId="1E6F9F7F">
      <w:pPr>
        <w:ind w:right="17" w:firstLine="640"/>
        <w:rPr>
          <w:rFonts w:eastAsia="仿宋_GB2312"/>
          <w:szCs w:val="32"/>
        </w:rPr>
      </w:pPr>
      <w:r>
        <w:rPr>
          <w:rFonts w:eastAsia="仿宋_GB2312"/>
          <w:szCs w:val="32"/>
        </w:rPr>
        <w:t>750</w:t>
      </w:r>
      <w:r>
        <w:rPr>
          <w:rFonts w:hint="eastAsia" w:eastAsia="仿宋_GB2312"/>
          <w:szCs w:val="32"/>
        </w:rPr>
        <w:t>千伏</w:t>
      </w:r>
      <w:r>
        <w:rPr>
          <w:rFonts w:eastAsia="仿宋_GB2312"/>
          <w:szCs w:val="32"/>
        </w:rPr>
        <w:t xml:space="preserve">                       11.0m</w:t>
      </w:r>
    </w:p>
    <w:p w14:paraId="7B01A4C6">
      <w:pPr>
        <w:ind w:firstLine="560"/>
        <w:rPr>
          <w:sz w:val="28"/>
          <w:szCs w:val="22"/>
        </w:rPr>
      </w:pPr>
      <w:r>
        <w:rPr>
          <w:rFonts w:hint="eastAsia"/>
          <w:sz w:val="28"/>
          <w:szCs w:val="22"/>
        </w:rPr>
        <w:t>注：架空电力线与构筑物的最小水平净距为最大计算风偏情况下的净距。</w:t>
      </w:r>
    </w:p>
    <w:p w14:paraId="5CB14EE6">
      <w:pPr>
        <w:ind w:right="17" w:firstLine="640"/>
      </w:pPr>
      <w:r>
        <w:rPr>
          <w:rFonts w:hint="eastAsia"/>
        </w:rPr>
        <w:t>市区和城镇人口密集地区的宽度可略小于上述规定，具体距离由城市规划行政主管部门会同电力管理部门确定。</w:t>
      </w:r>
    </w:p>
    <w:p w14:paraId="438EB8F9">
      <w:pPr>
        <w:ind w:right="17" w:firstLine="640"/>
        <w:rPr>
          <w:rFonts w:eastAsia="仿宋_GB2312"/>
          <w:szCs w:val="32"/>
        </w:rPr>
      </w:pPr>
      <w:r>
        <w:rPr>
          <w:rFonts w:hint="eastAsia" w:eastAsia="仿宋_GB2312"/>
          <w:szCs w:val="32"/>
        </w:rPr>
        <w:t>最小垂直净距（导线对地面）：</w:t>
      </w:r>
    </w:p>
    <w:p w14:paraId="7BB2C442">
      <w:pPr>
        <w:ind w:right="17" w:firstLine="640"/>
        <w:rPr>
          <w:rFonts w:eastAsia="仿宋_GB2312"/>
          <w:szCs w:val="32"/>
        </w:rPr>
      </w:pPr>
      <w:r>
        <w:rPr>
          <w:rFonts w:eastAsia="仿宋_GB2312"/>
          <w:szCs w:val="32"/>
        </w:rPr>
        <w:t>110</w:t>
      </w:r>
      <w:r>
        <w:rPr>
          <w:rFonts w:hint="eastAsia" w:eastAsia="仿宋_GB2312"/>
          <w:szCs w:val="32"/>
        </w:rPr>
        <w:t>千伏</w:t>
      </w:r>
      <w:r>
        <w:rPr>
          <w:rFonts w:eastAsia="仿宋_GB2312"/>
          <w:szCs w:val="32"/>
        </w:rPr>
        <w:t xml:space="preserve">                      5.0m</w:t>
      </w:r>
    </w:p>
    <w:p w14:paraId="0B3A4E41">
      <w:pPr>
        <w:ind w:right="17" w:firstLine="640"/>
        <w:rPr>
          <w:rFonts w:eastAsia="仿宋_GB2312"/>
          <w:szCs w:val="32"/>
        </w:rPr>
      </w:pPr>
      <w:r>
        <w:rPr>
          <w:rFonts w:eastAsia="仿宋_GB2312"/>
          <w:szCs w:val="32"/>
        </w:rPr>
        <w:t>220</w:t>
      </w:r>
      <w:r>
        <w:rPr>
          <w:rFonts w:hint="eastAsia" w:eastAsia="仿宋_GB2312"/>
          <w:szCs w:val="32"/>
        </w:rPr>
        <w:t>千伏</w:t>
      </w:r>
      <w:r>
        <w:rPr>
          <w:rFonts w:eastAsia="仿宋_GB2312"/>
          <w:szCs w:val="32"/>
        </w:rPr>
        <w:t xml:space="preserve">                      6.0m</w:t>
      </w:r>
    </w:p>
    <w:p w14:paraId="3F5933AE">
      <w:pPr>
        <w:ind w:right="17" w:firstLine="640"/>
        <w:rPr>
          <w:rFonts w:eastAsia="仿宋_GB2312"/>
          <w:szCs w:val="32"/>
        </w:rPr>
      </w:pPr>
      <w:r>
        <w:rPr>
          <w:rFonts w:eastAsia="仿宋_GB2312"/>
          <w:szCs w:val="32"/>
        </w:rPr>
        <w:t>330</w:t>
      </w:r>
      <w:r>
        <w:rPr>
          <w:rFonts w:hint="eastAsia" w:eastAsia="仿宋_GB2312"/>
          <w:szCs w:val="32"/>
        </w:rPr>
        <w:t>千伏</w:t>
      </w:r>
      <w:r>
        <w:rPr>
          <w:rFonts w:eastAsia="仿宋_GB2312"/>
          <w:szCs w:val="32"/>
        </w:rPr>
        <w:t xml:space="preserve">                      7.0m</w:t>
      </w:r>
    </w:p>
    <w:p w14:paraId="64868344">
      <w:pPr>
        <w:ind w:right="17" w:firstLine="640"/>
        <w:rPr>
          <w:rFonts w:eastAsia="仿宋_GB2312"/>
          <w:szCs w:val="32"/>
        </w:rPr>
      </w:pPr>
      <w:r>
        <w:rPr>
          <w:rFonts w:eastAsia="仿宋_GB2312"/>
          <w:szCs w:val="32"/>
        </w:rPr>
        <w:t>500</w:t>
      </w:r>
      <w:r>
        <w:rPr>
          <w:rFonts w:hint="eastAsia" w:eastAsia="仿宋_GB2312"/>
          <w:szCs w:val="32"/>
        </w:rPr>
        <w:t>千伏</w:t>
      </w:r>
      <w:r>
        <w:rPr>
          <w:rFonts w:eastAsia="仿宋_GB2312"/>
          <w:szCs w:val="32"/>
        </w:rPr>
        <w:t xml:space="preserve">                      9.0m</w:t>
      </w:r>
    </w:p>
    <w:p w14:paraId="437702BE">
      <w:pPr>
        <w:ind w:right="17" w:firstLine="640"/>
        <w:rPr>
          <w:rFonts w:eastAsia="仿宋_GB2312"/>
          <w:szCs w:val="32"/>
        </w:rPr>
      </w:pPr>
      <w:r>
        <w:rPr>
          <w:rFonts w:eastAsia="仿宋_GB2312"/>
          <w:szCs w:val="32"/>
        </w:rPr>
        <w:t>750</w:t>
      </w:r>
      <w:r>
        <w:rPr>
          <w:rFonts w:hint="eastAsia" w:eastAsia="仿宋_GB2312"/>
          <w:szCs w:val="32"/>
        </w:rPr>
        <w:t>千伏</w:t>
      </w:r>
      <w:r>
        <w:rPr>
          <w:rFonts w:eastAsia="仿宋_GB2312"/>
          <w:szCs w:val="32"/>
        </w:rPr>
        <w:t xml:space="preserve">                      11.5m</w:t>
      </w:r>
    </w:p>
    <w:p w14:paraId="61105D3C">
      <w:pPr>
        <w:ind w:firstLine="560"/>
        <w:rPr>
          <w:sz w:val="28"/>
          <w:szCs w:val="22"/>
        </w:rPr>
      </w:pPr>
      <w:r>
        <w:rPr>
          <w:rFonts w:hint="eastAsia"/>
          <w:sz w:val="28"/>
          <w:szCs w:val="22"/>
        </w:rPr>
        <w:t>注：架空电力线与构筑物的最小垂直净距为最大计算弧垂情况下的净距。</w:t>
      </w:r>
    </w:p>
    <w:p w14:paraId="41E5C23B">
      <w:pPr>
        <w:ind w:right="17" w:firstLine="640"/>
      </w:pPr>
      <w:r>
        <w:rPr>
          <w:rFonts w:hint="eastAsia"/>
        </w:rPr>
        <w:t>架空电力线缆不得跨越任何建筑物，架空电力线与各种易燃易爆设施的水平安全间距，不得小于其杆塔高度的</w:t>
      </w:r>
      <w:r>
        <w:t>1.5</w:t>
      </w:r>
      <w:r>
        <w:rPr>
          <w:rFonts w:hint="eastAsia"/>
        </w:rPr>
        <w:t>倍。</w:t>
      </w:r>
    </w:p>
    <w:p w14:paraId="7A8E89B1">
      <w:pPr>
        <w:pStyle w:val="47"/>
        <w:ind w:firstLine="640" w:firstLineChars="200"/>
        <w:outlineLvl w:val="1"/>
        <w:rPr>
          <w:rFonts w:hint="default"/>
        </w:rPr>
      </w:pPr>
      <w:bookmarkStart w:id="70" w:name="_Toc200810639"/>
      <w:bookmarkStart w:id="71" w:name="_Toc23462"/>
      <w:r>
        <w:t>四、地下管线</w:t>
      </w:r>
      <w:bookmarkEnd w:id="70"/>
      <w:r>
        <w:t>控制原则</w:t>
      </w:r>
      <w:bookmarkEnd w:id="71"/>
    </w:p>
    <w:p w14:paraId="7236104D">
      <w:pPr>
        <w:ind w:right="17" w:firstLine="640"/>
      </w:pPr>
      <w:r>
        <w:rPr>
          <w:rFonts w:hint="eastAsia"/>
        </w:rPr>
        <w:t>各种地下管线的设置除交叉处外不得上下重叠，如交叉敷设或新建管线与原有管线发生矛盾时，原则上应以技术条件较低的避让技术条件较高的；小管避让大管；临时管线避让永久管线；支管避让干管；压力管线避让重力自流管线；可弯曲管线避让不可弯曲管线。</w:t>
      </w:r>
    </w:p>
    <w:p w14:paraId="0CBD5EA3">
      <w:pPr>
        <w:ind w:right="17" w:firstLine="640"/>
      </w:pPr>
    </w:p>
    <w:p w14:paraId="2FA7711D">
      <w:pPr>
        <w:ind w:firstLine="0" w:firstLineChars="0"/>
        <w:sectPr>
          <w:footerReference r:id="rId31" w:type="default"/>
          <w:footerReference r:id="rId32" w:type="even"/>
          <w:pgSz w:w="11906" w:h="16838"/>
          <w:pgMar w:top="2098" w:right="1474" w:bottom="1985" w:left="1588" w:header="851" w:footer="992" w:gutter="0"/>
          <w:pgNumType w:fmt="numberInDash" w:start="44"/>
          <w:cols w:space="425" w:num="1"/>
          <w:docGrid w:type="lines" w:linePitch="312" w:charSpace="0"/>
        </w:sectPr>
      </w:pPr>
    </w:p>
    <w:bookmarkEnd w:id="63"/>
    <w:p w14:paraId="70D40CD5">
      <w:pPr>
        <w:pStyle w:val="35"/>
        <w:numPr>
          <w:ilvl w:val="0"/>
          <w:numId w:val="0"/>
        </w:numPr>
        <w:spacing w:before="156" w:after="156"/>
        <w:rPr>
          <w:rFonts w:asciiTheme="minorEastAsia" w:hAnsiTheme="minorEastAsia" w:eastAsiaTheme="minorEastAsia" w:cstheme="minorEastAsia"/>
          <w:color w:val="auto"/>
          <w:sz w:val="28"/>
          <w:szCs w:val="28"/>
        </w:rPr>
        <w:sectPr>
          <w:footerReference r:id="rId33" w:type="default"/>
          <w:footerReference r:id="rId34" w:type="even"/>
          <w:pgSz w:w="11906" w:h="16838"/>
          <w:pgMar w:top="2098" w:right="1474" w:bottom="1985" w:left="1588" w:header="851" w:footer="992" w:gutter="0"/>
          <w:pgNumType w:fmt="numberInDash"/>
          <w:cols w:space="425" w:num="1"/>
          <w:docGrid w:type="lines" w:linePitch="312" w:charSpace="0"/>
        </w:sectPr>
      </w:pPr>
      <w:r>
        <w:rPr>
          <w:color w:val="auto"/>
          <w:sz w:val="32"/>
        </w:rPr>
        <w:pict>
          <v:shape id="_x0000_s2059" o:spid="_x0000_s2059" o:spt="100" style="position:absolute;left:0pt;margin-left:432.85pt;margin-top:-104.55pt;height:840.8pt;width:0pt;z-index:251689984;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DH/Ota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rPr>
          <w:color w:val="auto"/>
          <w:sz w:val="32"/>
        </w:rPr>
        <w:pict>
          <v:shape id="_x0000_s2058" o:spid="_x0000_s2058" o:spt="100" style="position:absolute;left:0pt;margin-left:263.5pt;margin-top:135.5pt;height:0pt;width:169.8pt;z-index:251692032;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DkD3Zh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rPr>
          <w:color w:val="auto"/>
          <w:sz w:val="32"/>
        </w:rPr>
        <w:pict>
          <v:rect id="_x0000_s2057" o:spid="_x0000_s2057" o:spt="1" style="position:absolute;left:0pt;margin-left:-79.4pt;margin-top:-104.75pt;height:846.05pt;width:599pt;z-index:251687936;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CX/87ZiAIAAAgF&#10;AAAOAAAAAAAAAAEAIAAAACgBAABkcnMvZTJvRG9jLnhtbFBLBQYAAAAABgAGAFkBAAAiBgAAAAA=&#10;">
            <v:path/>
            <v:fill on="t" focussize="0,0"/>
            <v:stroke on="f" weight="1pt"/>
            <v:imagedata o:title=""/>
            <o:lock v:ext="edit"/>
          </v:rect>
        </w:pict>
      </w:r>
      <w:r>
        <w:rPr>
          <w:color w:val="auto"/>
          <w:sz w:val="32"/>
        </w:rPr>
        <w:pict>
          <v:shape id="_x0000_s2056" o:spid="_x0000_s2056" o:spt="202" type="#_x0000_t202" style="position:absolute;left:0pt;margin-left:263.1pt;margin-top:97.65pt;height:100.15pt;width:166.05pt;z-index:251691008;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YkrKOPgIAAGkEAAAOAAAAAAAAAAEAIAAA&#10;ACoBAABkcnMvZTJvRG9jLnhtbFBLBQYAAAAABgAGAFkBAADaBQAAAAA=&#10;">
            <v:path/>
            <v:fill on="f" focussize="0,0"/>
            <v:stroke on="f" weight="0.5pt" joinstyle="miter"/>
            <v:imagedata o:title=""/>
            <o:lock v:ext="edit"/>
            <v:textbox>
              <w:txbxContent>
                <w:p w14:paraId="51940DAA">
                  <w:pPr>
                    <w:spacing w:line="640" w:lineRule="exact"/>
                    <w:ind w:firstLine="880"/>
                    <w:rPr>
                      <w:rFonts w:ascii="黑体" w:hAnsi="黑体" w:eastAsia="黑体" w:cs="黑体"/>
                      <w:sz w:val="44"/>
                      <w:szCs w:val="36"/>
                    </w:rPr>
                  </w:pPr>
                  <w:r>
                    <w:rPr>
                      <w:rFonts w:hint="eastAsia" w:ascii="黑体" w:hAnsi="黑体" w:eastAsia="黑体" w:cs="黑体"/>
                      <w:sz w:val="44"/>
                      <w:szCs w:val="36"/>
                    </w:rPr>
                    <w:t>第七章</w:t>
                  </w:r>
                </w:p>
                <w:p w14:paraId="6ABEE451">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附则</w:t>
                  </w:r>
                </w:p>
              </w:txbxContent>
            </v:textbox>
          </v:shape>
        </w:pict>
      </w:r>
      <w:r>
        <w:rPr>
          <w:color w:val="auto"/>
          <w:sz w:val="32"/>
        </w:rPr>
        <w:pict>
          <v:rect id="_x0000_s2055" o:spid="_x0000_s2055" o:spt="1" style="position:absolute;left:0pt;margin-left:-78.95pt;margin-top:173.4pt;height:23.4pt;width:595.3pt;z-index:25168896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8s0XK4cCAAAG&#10;BQAADgAAAAAAAAABACAAAAAqAQAAZHJzL2Uyb0RvYy54bWxQSwUGAAAAAAYABgBZAQAAIwYAAAAA&#10;">
            <v:path/>
            <v:fill on="t" focussize="0,0"/>
            <v:stroke on="f" weight="1pt"/>
            <v:imagedata o:title=""/>
            <o:lock v:ext="edit"/>
          </v:rect>
        </w:pict>
      </w:r>
    </w:p>
    <w:p w14:paraId="711B255A">
      <w:pPr>
        <w:pStyle w:val="47"/>
        <w:spacing w:afterLines="100"/>
        <w:jc w:val="center"/>
        <w:rPr>
          <w:rFonts w:hint="default"/>
          <w:sz w:val="36"/>
          <w:szCs w:val="28"/>
        </w:rPr>
      </w:pPr>
      <w:bookmarkStart w:id="72" w:name="_Toc4653"/>
      <w:bookmarkStart w:id="73" w:name="_Toc22337"/>
      <w:bookmarkStart w:id="74" w:name="_Toc26245"/>
      <w:r>
        <w:rPr>
          <w:sz w:val="36"/>
          <w:szCs w:val="28"/>
        </w:rPr>
        <w:t>第七章 附则</w:t>
      </w:r>
      <w:bookmarkEnd w:id="72"/>
      <w:bookmarkEnd w:id="73"/>
      <w:bookmarkEnd w:id="74"/>
    </w:p>
    <w:p w14:paraId="185D513B">
      <w:pPr>
        <w:ind w:firstLine="640"/>
      </w:pPr>
      <w:r>
        <w:rPr>
          <w:rFonts w:hint="eastAsia"/>
        </w:rPr>
        <w:t>一、本技术指南实施前已取得《建设工程规划许可证》的建设项目，仍按照原批准执行。已获取建设用地规划设计条件（纳入土地出让合同的）或者详细规划已获批准的，应当根据实际情况结合本规定执行。</w:t>
      </w:r>
    </w:p>
    <w:p w14:paraId="10044F8E">
      <w:pPr>
        <w:ind w:firstLine="640"/>
      </w:pPr>
      <w:r>
        <w:rPr>
          <w:rFonts w:hint="eastAsia"/>
        </w:rPr>
        <w:t>二、本技术指南的附录与本规定具有同等的效力。</w:t>
      </w:r>
    </w:p>
    <w:p w14:paraId="43AB4864">
      <w:pPr>
        <w:ind w:firstLine="640"/>
      </w:pPr>
      <w:r>
        <w:rPr>
          <w:rFonts w:hint="eastAsia"/>
        </w:rPr>
        <w:t>三、本技术指南自2025年7月24日起试行，有效期两年。</w:t>
      </w:r>
    </w:p>
    <w:p w14:paraId="5943C94B">
      <w:pPr>
        <w:ind w:firstLine="640"/>
        <w:sectPr>
          <w:footerReference r:id="rId35" w:type="default"/>
          <w:footerReference r:id="rId36" w:type="even"/>
          <w:pgSz w:w="11906" w:h="16838"/>
          <w:pgMar w:top="2098" w:right="1474" w:bottom="1985" w:left="1588" w:header="851" w:footer="992" w:gutter="0"/>
          <w:pgNumType w:fmt="numberInDash" w:start="47"/>
          <w:cols w:space="425" w:num="1"/>
          <w:docGrid w:type="lines" w:linePitch="312" w:charSpace="0"/>
        </w:sectPr>
      </w:pPr>
    </w:p>
    <w:p w14:paraId="55AAB188">
      <w:pPr>
        <w:ind w:firstLine="640"/>
        <w:sectPr>
          <w:pgSz w:w="11906" w:h="16838"/>
          <w:pgMar w:top="2098" w:right="1474" w:bottom="1985" w:left="1588" w:header="851" w:footer="992" w:gutter="0"/>
          <w:pgNumType w:fmt="numberInDash"/>
          <w:cols w:space="425" w:num="1"/>
          <w:docGrid w:type="lines" w:linePitch="312" w:charSpace="0"/>
        </w:sectPr>
      </w:pPr>
      <w:r>
        <w:pict>
          <v:shape id="_x0000_s2054" o:spid="_x0000_s2054" o:spt="100" style="position:absolute;left:0pt;margin-left:432.85pt;margin-top:-104.55pt;height:840.8pt;width:0pt;z-index:251695104;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CnhAGO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pict>
          <v:shape id="_x0000_s2053" o:spid="_x0000_s2053" o:spt="100" style="position:absolute;left:0pt;margin-left:263.5pt;margin-top:135.5pt;height:0pt;width:169.8pt;z-index:251697152;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AykOhu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pict>
          <v:rect id="_x0000_s2052" o:spid="_x0000_s2052" o:spt="1" style="position:absolute;left:0pt;margin-left:-79.4pt;margin-top:-104.75pt;height:846.05pt;width:599pt;z-index:251693056;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NAODoqI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DQDg6KiAIAAAgF&#10;AAAOAAAAAAAAAAEAIAAAACgBAABkcnMvZTJvRG9jLnhtbFBLBQYAAAAABgAGAFkBAAAiBgAAAAA=&#10;">
            <v:path/>
            <v:fill on="t" focussize="0,0"/>
            <v:stroke on="f" weight="1pt"/>
            <v:imagedata o:title=""/>
            <o:lock v:ext="edit"/>
          </v:rect>
        </w:pict>
      </w:r>
      <w:r>
        <w:pict>
          <v:shape id="_x0000_s2051" o:spid="_x0000_s2051" o:spt="202" type="#_x0000_t202" style="position:absolute;left:0pt;margin-left:263.1pt;margin-top:97.65pt;height:100.15pt;width:166.05pt;z-index:251696128;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3VztxPgIAAGkEAAAOAAAAAAAAAAEAIAAA&#10;ACoBAABkcnMvZTJvRG9jLnhtbFBLBQYAAAAABgAGAFkBAADaBQAAAAA=&#10;">
            <v:path/>
            <v:fill on="f" focussize="0,0"/>
            <v:stroke on="f" weight="0.5pt" joinstyle="miter"/>
            <v:imagedata o:title=""/>
            <o:lock v:ext="edit"/>
            <v:textbox>
              <w:txbxContent>
                <w:p w14:paraId="4D3DEBFD">
                  <w:pPr>
                    <w:spacing w:line="640" w:lineRule="exact"/>
                    <w:ind w:firstLine="880"/>
                    <w:rPr>
                      <w:rFonts w:ascii="黑体" w:hAnsi="黑体" w:eastAsia="黑体" w:cs="黑体"/>
                      <w:sz w:val="44"/>
                      <w:szCs w:val="36"/>
                    </w:rPr>
                  </w:pPr>
                  <w:r>
                    <w:rPr>
                      <w:rFonts w:hint="eastAsia" w:ascii="黑体" w:hAnsi="黑体" w:eastAsia="黑体" w:cs="黑体"/>
                      <w:sz w:val="44"/>
                      <w:szCs w:val="36"/>
                    </w:rPr>
                    <w:t>第八章</w:t>
                  </w:r>
                </w:p>
                <w:p w14:paraId="163FEBEF">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术语</w:t>
                  </w:r>
                </w:p>
              </w:txbxContent>
            </v:textbox>
          </v:shape>
        </w:pict>
      </w:r>
      <w:r>
        <w:pict>
          <v:rect id="_x0000_s2050" o:spid="_x0000_s2050" o:spt="1" style="position:absolute;left:0pt;margin-left:-78.95pt;margin-top:173.4pt;height:23.4pt;width:595.3pt;z-index:25169408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dbx2lY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ZES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dbx2lYcCAAAG&#10;BQAADgAAAAAAAAABACAAAAAqAQAAZHJzL2Uyb0RvYy54bWxQSwUGAAAAAAYABgBZAQAAIwYAAAAA&#10;">
            <v:path/>
            <v:fill on="t" focussize="0,0"/>
            <v:stroke on="f" weight="1pt"/>
            <v:imagedata o:title=""/>
            <o:lock v:ext="edit"/>
          </v:rect>
        </w:pict>
      </w:r>
    </w:p>
    <w:p w14:paraId="557CE959">
      <w:pPr>
        <w:pStyle w:val="47"/>
        <w:jc w:val="center"/>
        <w:rPr>
          <w:rFonts w:hint="default"/>
          <w:sz w:val="36"/>
          <w:szCs w:val="28"/>
        </w:rPr>
      </w:pPr>
      <w:bookmarkStart w:id="75" w:name="_Toc17512"/>
      <w:bookmarkStart w:id="76" w:name="_Toc9436"/>
      <w:bookmarkStart w:id="77" w:name="_Toc16357"/>
      <w:r>
        <w:rPr>
          <w:sz w:val="36"/>
          <w:szCs w:val="28"/>
        </w:rPr>
        <w:t>第八章 术语</w:t>
      </w:r>
      <w:bookmarkEnd w:id="75"/>
      <w:bookmarkEnd w:id="76"/>
      <w:bookmarkEnd w:id="77"/>
    </w:p>
    <w:p w14:paraId="6A839C2F">
      <w:pPr>
        <w:pStyle w:val="47"/>
        <w:outlineLvl w:val="1"/>
        <w:rPr>
          <w:rFonts w:hint="default"/>
        </w:rPr>
      </w:pPr>
      <w:bookmarkStart w:id="78" w:name="_Toc29142"/>
      <w:bookmarkStart w:id="79" w:name="_Toc8253"/>
      <w:bookmarkStart w:id="80" w:name="_Toc14945"/>
      <w:r>
        <w:t>一、地段划分</w:t>
      </w:r>
      <w:bookmarkEnd w:id="78"/>
      <w:bookmarkEnd w:id="79"/>
      <w:bookmarkEnd w:id="80"/>
    </w:p>
    <w:p w14:paraId="190EA259">
      <w:pPr>
        <w:pStyle w:val="48"/>
        <w:spacing w:before="160" w:after="160"/>
        <w:outlineLvl w:val="9"/>
        <w:rPr>
          <w:rFonts w:hint="default"/>
        </w:rPr>
      </w:pPr>
      <w:r>
        <w:t>（一）城市规划区</w:t>
      </w:r>
    </w:p>
    <w:p w14:paraId="700BF4F7">
      <w:pPr>
        <w:ind w:firstLine="640"/>
      </w:pPr>
      <w:r>
        <w:rPr>
          <w:rFonts w:hint="eastAsia"/>
        </w:rPr>
        <w:t>已编制详细规划的区域。</w:t>
      </w:r>
    </w:p>
    <w:p w14:paraId="248445F1">
      <w:pPr>
        <w:pStyle w:val="48"/>
        <w:spacing w:before="160" w:after="160"/>
        <w:outlineLvl w:val="9"/>
        <w:rPr>
          <w:rFonts w:hint="default"/>
        </w:rPr>
      </w:pPr>
      <w:r>
        <w:t>（二）旧区</w:t>
      </w:r>
    </w:p>
    <w:p w14:paraId="3B948688">
      <w:pPr>
        <w:ind w:firstLine="640"/>
      </w:pPr>
      <w:r>
        <w:rPr>
          <w:rFonts w:hint="eastAsia"/>
        </w:rPr>
        <w:t>1</w:t>
      </w:r>
      <w:r>
        <w:rPr>
          <w:rFonts w:hint="eastAsia" w:ascii="宋体" w:hAnsi="宋体" w:eastAsia="宋体" w:cs="宋体"/>
        </w:rPr>
        <w:t>.</w:t>
      </w:r>
      <w:r>
        <w:rPr>
          <w:rFonts w:hint="eastAsia"/>
        </w:rPr>
        <w:t>旧区在整体空间划分上指胜利路、东堤路、文昌路西段、东环路南段、燎原路、南二环路、城站路、龙屯新道、柳太路南段、潭中西路、北雀路围合的区域，以及拉堡镇、雒容镇老镇区范围。</w:t>
      </w:r>
    </w:p>
    <w:p w14:paraId="39C02C1A">
      <w:pPr>
        <w:ind w:firstLine="640"/>
      </w:pPr>
      <w:r>
        <w:rPr>
          <w:rFonts w:hint="eastAsia"/>
        </w:rPr>
        <w:t>2</w:t>
      </w:r>
      <w:r>
        <w:rPr>
          <w:rFonts w:hint="eastAsia" w:ascii="宋体" w:hAnsi="宋体" w:eastAsia="宋体" w:cs="宋体"/>
        </w:rPr>
        <w:t>.</w:t>
      </w:r>
      <w:r>
        <w:rPr>
          <w:rFonts w:hint="eastAsia"/>
        </w:rPr>
        <w:t>旧区范围外，地块所在城镇道路围</w:t>
      </w:r>
      <w:r>
        <w:rPr>
          <w:rFonts w:hint="eastAsia"/>
          <w:lang w:eastAsia="zh-CN"/>
        </w:rPr>
        <w:t>合</w:t>
      </w:r>
      <w:r>
        <w:rPr>
          <w:rFonts w:hint="eastAsia"/>
        </w:rPr>
        <w:t>的区域，现状建筑密度大于35%或者综合容积率大于1.5的区域可视为旧区。（临时建筑、违法建筑、简易结构建筑、钢架棚、违章搭盖等不计入统计指标内）</w:t>
      </w:r>
    </w:p>
    <w:p w14:paraId="639BF0AA">
      <w:pPr>
        <w:pStyle w:val="48"/>
        <w:spacing w:before="160" w:after="160"/>
        <w:outlineLvl w:val="9"/>
        <w:rPr>
          <w:rFonts w:hint="default"/>
        </w:rPr>
      </w:pPr>
      <w:r>
        <w:t>（三）新区</w:t>
      </w:r>
    </w:p>
    <w:p w14:paraId="24A94499">
      <w:pPr>
        <w:ind w:firstLine="640"/>
      </w:pPr>
      <w:r>
        <w:rPr>
          <w:rFonts w:hint="eastAsia"/>
        </w:rPr>
        <w:t>1</w:t>
      </w:r>
      <w:r>
        <w:rPr>
          <w:rFonts w:hint="eastAsia" w:ascii="宋体" w:hAnsi="宋体" w:eastAsia="宋体" w:cs="宋体"/>
        </w:rPr>
        <w:t>.</w:t>
      </w:r>
      <w:r>
        <w:rPr>
          <w:rFonts w:hint="eastAsia"/>
        </w:rPr>
        <w:t>指城市规划区内旧区范围以外的区域。</w:t>
      </w:r>
    </w:p>
    <w:p w14:paraId="6C4939B5">
      <w:pPr>
        <w:ind w:firstLine="640"/>
      </w:pPr>
      <w:r>
        <w:rPr>
          <w:rFonts w:hint="eastAsia"/>
        </w:rPr>
        <w:t>2</w:t>
      </w:r>
      <w:r>
        <w:rPr>
          <w:rFonts w:hint="eastAsia" w:ascii="宋体" w:hAnsi="宋体" w:eastAsia="宋体" w:cs="宋体"/>
        </w:rPr>
        <w:t>.</w:t>
      </w:r>
      <w:r>
        <w:rPr>
          <w:rFonts w:hint="eastAsia"/>
        </w:rPr>
        <w:t>旧区范围内，地块所在城镇道路围</w:t>
      </w:r>
      <w:r>
        <w:rPr>
          <w:rFonts w:hint="eastAsia"/>
          <w:lang w:eastAsia="zh-CN"/>
        </w:rPr>
        <w:t>合</w:t>
      </w:r>
      <w:r>
        <w:rPr>
          <w:rFonts w:hint="eastAsia"/>
        </w:rPr>
        <w:t>的区域，现状建筑密度小于等于30%且容积率小于等于1.5的区域也可以视为新区。</w:t>
      </w:r>
    </w:p>
    <w:p w14:paraId="117120D2">
      <w:pPr>
        <w:pStyle w:val="48"/>
        <w:spacing w:before="160" w:after="160"/>
        <w:outlineLvl w:val="9"/>
        <w:rPr>
          <w:rFonts w:hint="default"/>
        </w:rPr>
      </w:pPr>
      <w:r>
        <w:t>（四）旧城保护区</w:t>
      </w:r>
    </w:p>
    <w:p w14:paraId="463C3132">
      <w:pPr>
        <w:ind w:firstLine="640"/>
      </w:pPr>
      <w:r>
        <w:rPr>
          <w:rFonts w:hint="eastAsia"/>
        </w:rPr>
        <w:t>指莲塘路、五一路、文惠路、荣军路北段、屏山大道西段、飞鹅路东段、红光路北段、红光桥围合的区域。</w:t>
      </w:r>
    </w:p>
    <w:p w14:paraId="3C15CB29">
      <w:pPr>
        <w:pStyle w:val="47"/>
        <w:outlineLvl w:val="1"/>
        <w:rPr>
          <w:rFonts w:hint="default"/>
        </w:rPr>
      </w:pPr>
      <w:bookmarkStart w:id="81" w:name="_Toc6477"/>
      <w:bookmarkStart w:id="82" w:name="_Toc19396"/>
      <w:bookmarkStart w:id="83" w:name="_Toc22469"/>
      <w:r>
        <w:t>二、名词解释</w:t>
      </w:r>
      <w:bookmarkEnd w:id="81"/>
      <w:bookmarkEnd w:id="82"/>
      <w:bookmarkEnd w:id="83"/>
    </w:p>
    <w:p w14:paraId="26E7363B">
      <w:pPr>
        <w:pStyle w:val="48"/>
        <w:spacing w:before="160" w:after="160"/>
        <w:outlineLvl w:val="9"/>
        <w:rPr>
          <w:rFonts w:hint="default"/>
        </w:rPr>
      </w:pPr>
      <w:r>
        <w:t>（一）容积率</w:t>
      </w:r>
    </w:p>
    <w:p w14:paraId="21BC5007">
      <w:pPr>
        <w:ind w:firstLine="640"/>
      </w:pPr>
      <w:r>
        <w:rPr>
          <w:rFonts w:hint="eastAsia"/>
        </w:rPr>
        <w:t>容积率，指在一定地块范围内，有关建筑面积总和与建设基地净用地面积的比值。</w:t>
      </w:r>
    </w:p>
    <w:p w14:paraId="3B952BE6">
      <w:pPr>
        <w:pStyle w:val="48"/>
        <w:spacing w:before="160" w:after="160"/>
        <w:outlineLvl w:val="9"/>
        <w:rPr>
          <w:rFonts w:hint="default"/>
        </w:rPr>
      </w:pPr>
      <w:r>
        <w:t>（二）建筑密度</w:t>
      </w:r>
    </w:p>
    <w:p w14:paraId="391CEF5E">
      <w:pPr>
        <w:ind w:firstLine="640"/>
      </w:pPr>
      <w:r>
        <w:rPr>
          <w:rFonts w:hint="eastAsia"/>
        </w:rPr>
        <w:t>建筑密度指建筑物底层占地面积与建筑基地净用地面积的比值（用百分比表示）。</w:t>
      </w:r>
    </w:p>
    <w:p w14:paraId="51B88487">
      <w:pPr>
        <w:pStyle w:val="48"/>
        <w:spacing w:before="160" w:after="160"/>
        <w:outlineLvl w:val="9"/>
        <w:rPr>
          <w:rFonts w:hint="default"/>
        </w:rPr>
      </w:pPr>
      <w:r>
        <w:t>（三）绿地率</w:t>
      </w:r>
    </w:p>
    <w:p w14:paraId="12D9F885">
      <w:pPr>
        <w:ind w:firstLine="640"/>
      </w:pPr>
      <w:r>
        <w:t>绿地率</w:t>
      </w:r>
      <w:r>
        <w:rPr>
          <w:rFonts w:hint="eastAsia"/>
        </w:rPr>
        <w:t>指绿地面积与建筑基地净用地面积的比值（用百分比表示）。</w:t>
      </w:r>
    </w:p>
    <w:p w14:paraId="35739C57">
      <w:pPr>
        <w:pStyle w:val="48"/>
        <w:spacing w:before="160" w:after="160"/>
        <w:outlineLvl w:val="9"/>
        <w:rPr>
          <w:rFonts w:hint="default"/>
        </w:rPr>
      </w:pPr>
      <w:r>
        <w:t>（四）低层建筑</w:t>
      </w:r>
    </w:p>
    <w:p w14:paraId="05F09AFD">
      <w:pPr>
        <w:ind w:firstLine="640"/>
      </w:pPr>
      <w:r>
        <w:rPr>
          <w:rFonts w:hint="eastAsia"/>
        </w:rPr>
        <w:t>低层建筑指高度小于等于10米的非住宅建筑；高度小于等于11米且建筑层数为1-3层的低层住宅建筑。</w:t>
      </w:r>
    </w:p>
    <w:p w14:paraId="16718481">
      <w:pPr>
        <w:pStyle w:val="48"/>
        <w:spacing w:before="160" w:after="160"/>
        <w:outlineLvl w:val="9"/>
        <w:rPr>
          <w:rFonts w:hint="default"/>
        </w:rPr>
      </w:pPr>
      <w:r>
        <w:t>（五）多层建筑</w:t>
      </w:r>
    </w:p>
    <w:p w14:paraId="720FC47C">
      <w:pPr>
        <w:ind w:firstLine="640"/>
      </w:pPr>
      <w:r>
        <w:rPr>
          <w:rFonts w:hint="eastAsia"/>
        </w:rPr>
        <w:t>多层建筑指高度大于10米、小于等于24米的非住宅建筑；高度大于11米、小于等于27米的住宅建筑。</w:t>
      </w:r>
    </w:p>
    <w:p w14:paraId="680F15CC">
      <w:pPr>
        <w:ind w:firstLine="640"/>
      </w:pPr>
      <w:r>
        <w:rPr>
          <w:rFonts w:hint="eastAsia"/>
        </w:rPr>
        <w:t>计算建筑间距和建筑退让时，高度大于24米的住宅建筑按照高层住宅建筑计算。</w:t>
      </w:r>
    </w:p>
    <w:p w14:paraId="6DCA822F">
      <w:pPr>
        <w:pStyle w:val="48"/>
        <w:spacing w:before="160" w:after="160"/>
        <w:outlineLvl w:val="9"/>
        <w:rPr>
          <w:rFonts w:hint="default"/>
        </w:rPr>
      </w:pPr>
      <w:r>
        <w:t>（六）高层建筑</w:t>
      </w:r>
    </w:p>
    <w:p w14:paraId="53EBFA77">
      <w:pPr>
        <w:ind w:firstLine="640"/>
      </w:pPr>
      <w:r>
        <w:rPr>
          <w:rFonts w:hint="eastAsia"/>
        </w:rPr>
        <w:t>高层建筑指建筑高度大于27米的住宅建筑和建筑高度大于24米的非单层厂房、仓库和其他民用建筑。</w:t>
      </w:r>
    </w:p>
    <w:p w14:paraId="6B979E0D">
      <w:pPr>
        <w:pStyle w:val="48"/>
        <w:spacing w:before="160" w:after="160"/>
        <w:outlineLvl w:val="9"/>
        <w:rPr>
          <w:rFonts w:hint="default"/>
        </w:rPr>
      </w:pPr>
      <w:r>
        <w:t>（七）超高层建筑</w:t>
      </w:r>
    </w:p>
    <w:p w14:paraId="02680248">
      <w:pPr>
        <w:ind w:firstLine="640"/>
      </w:pPr>
      <w:r>
        <w:rPr>
          <w:rFonts w:hint="eastAsia"/>
        </w:rPr>
        <w:t>超高层建筑指建筑高度在100米以上的建筑。</w:t>
      </w:r>
    </w:p>
    <w:p w14:paraId="0815B075">
      <w:pPr>
        <w:pStyle w:val="48"/>
        <w:spacing w:before="160" w:after="160"/>
        <w:outlineLvl w:val="9"/>
        <w:rPr>
          <w:rFonts w:hint="default"/>
        </w:rPr>
      </w:pPr>
      <w:r>
        <w:t>（八）阳台</w:t>
      </w:r>
    </w:p>
    <w:p w14:paraId="127CD306">
      <w:pPr>
        <w:ind w:firstLine="640"/>
      </w:pPr>
      <w:r>
        <w:rPr>
          <w:rFonts w:hint="eastAsia"/>
        </w:rPr>
        <w:t>指附设于建筑物外墙，设有栏杆或者栏板，可以供人活动的室外空间。</w:t>
      </w:r>
    </w:p>
    <w:p w14:paraId="640C6362">
      <w:pPr>
        <w:pStyle w:val="48"/>
        <w:spacing w:before="160" w:after="160"/>
        <w:outlineLvl w:val="9"/>
        <w:rPr>
          <w:rFonts w:hint="default"/>
        </w:rPr>
      </w:pPr>
      <w:r>
        <w:t>（九）立体庭院</w:t>
      </w:r>
    </w:p>
    <w:p w14:paraId="75E2AB69">
      <w:pPr>
        <w:ind w:firstLine="640"/>
      </w:pPr>
      <w:r>
        <w:rPr>
          <w:rFonts w:hint="eastAsia"/>
        </w:rPr>
        <w:t>附设于建筑物外墙，设有栏杆或栏板，底板至顶盖垂直高度达到或超过两个自然层的不封闭绿化活动空间。</w:t>
      </w:r>
    </w:p>
    <w:p w14:paraId="6D8F4D89">
      <w:pPr>
        <w:pStyle w:val="48"/>
        <w:spacing w:before="160" w:after="160"/>
        <w:outlineLvl w:val="9"/>
        <w:rPr>
          <w:rFonts w:hint="default"/>
        </w:rPr>
      </w:pPr>
      <w:r>
        <w:t>（十）套型总建筑面积</w:t>
      </w:r>
    </w:p>
    <w:p w14:paraId="0020054B">
      <w:pPr>
        <w:ind w:firstLine="640"/>
      </w:pPr>
      <w:r>
        <w:rPr>
          <w:rFonts w:hint="eastAsia"/>
        </w:rPr>
        <w:t>指《住宅设计规范》中的“套型总建筑面积”，其计算内容为《住宅设计规范》4.0.2条第4款中的“套内使用面积”“相应的建筑面积”与“套型阳台面积”之和。套型总建筑面积不含立体庭院面积。</w:t>
      </w:r>
    </w:p>
    <w:p w14:paraId="4FE9960F">
      <w:pPr>
        <w:pStyle w:val="48"/>
        <w:spacing w:before="160" w:after="160"/>
        <w:outlineLvl w:val="9"/>
        <w:rPr>
          <w:rFonts w:hint="default"/>
        </w:rPr>
      </w:pPr>
      <w:r>
        <w:t>（十一）套型建筑面积</w:t>
      </w:r>
    </w:p>
    <w:p w14:paraId="4FD3DDFB">
      <w:pPr>
        <w:ind w:firstLine="640"/>
      </w:pPr>
      <w:r>
        <w:rPr>
          <w:rFonts w:hint="eastAsia"/>
        </w:rPr>
        <w:t>“套型建筑面积”相对于《住宅设计规范》中的“套型总建筑面积”，其计算内容为《住宅设计规范》4.0.2条第4款中的“套内使用面积”与“相应的建筑面积”之和。套型建筑面积不含套型阳台面积、立体庭院面积。</w:t>
      </w:r>
    </w:p>
    <w:p w14:paraId="09FF98F7">
      <w:pPr>
        <w:pStyle w:val="48"/>
        <w:spacing w:before="160" w:after="160"/>
        <w:outlineLvl w:val="9"/>
        <w:rPr>
          <w:rFonts w:hint="default"/>
        </w:rPr>
      </w:pPr>
      <w:r>
        <w:t>（十二）凸窗</w:t>
      </w:r>
    </w:p>
    <w:p w14:paraId="27BEFF81">
      <w:pPr>
        <w:ind w:firstLine="640"/>
      </w:pPr>
      <w:r>
        <w:t>凸窗</w:t>
      </w:r>
      <w:r>
        <w:rPr>
          <w:rFonts w:hint="eastAsia"/>
        </w:rPr>
        <w:t>指凸出建筑物外墙面的窗户。</w:t>
      </w:r>
    </w:p>
    <w:p w14:paraId="157BB05A">
      <w:pPr>
        <w:pStyle w:val="48"/>
        <w:spacing w:before="160" w:after="160"/>
        <w:outlineLvl w:val="9"/>
        <w:rPr>
          <w:rFonts w:hint="default"/>
        </w:rPr>
      </w:pPr>
      <w:r>
        <w:t>（十三）设备平台</w:t>
      </w:r>
    </w:p>
    <w:p w14:paraId="53DDA122">
      <w:pPr>
        <w:ind w:firstLine="640"/>
      </w:pPr>
      <w:r>
        <w:rPr>
          <w:rFonts w:hint="eastAsia"/>
        </w:rPr>
        <w:t>设备平台，指供空调外机、热水机组等设备搁置、检修且与建筑内部空间及阳台空间无出入口连通的对外敞开的室外空间。</w:t>
      </w:r>
    </w:p>
    <w:p w14:paraId="0C07045A">
      <w:pPr>
        <w:ind w:firstLine="640"/>
      </w:pPr>
    </w:p>
    <w:p w14:paraId="61D46265">
      <w:pPr>
        <w:pStyle w:val="48"/>
        <w:spacing w:before="160" w:after="160"/>
        <w:outlineLvl w:val="9"/>
        <w:rPr>
          <w:rFonts w:hint="default"/>
        </w:rPr>
      </w:pPr>
      <w:r>
        <w:t>（十四）裙楼</w:t>
      </w:r>
    </w:p>
    <w:p w14:paraId="6A6E676F">
      <w:pPr>
        <w:ind w:firstLine="640"/>
      </w:pPr>
      <w:r>
        <w:rPr>
          <w:rFonts w:hint="eastAsia"/>
        </w:rPr>
        <w:t>裙楼指在高层建筑主体投影范围外，与建筑主体相连且建筑高度不大于24米的附属建筑。</w:t>
      </w:r>
    </w:p>
    <w:p w14:paraId="727A85EC">
      <w:pPr>
        <w:pStyle w:val="48"/>
        <w:spacing w:before="160" w:after="160"/>
        <w:outlineLvl w:val="9"/>
        <w:rPr>
          <w:rFonts w:hint="default"/>
        </w:rPr>
      </w:pPr>
      <w:r>
        <w:t>（十五）消防间距</w:t>
      </w:r>
    </w:p>
    <w:p w14:paraId="580D213D">
      <w:pPr>
        <w:ind w:firstLine="640"/>
      </w:pPr>
      <w:r>
        <w:t>消防间距</w:t>
      </w:r>
      <w:r>
        <w:rPr>
          <w:rFonts w:hint="eastAsia"/>
        </w:rPr>
        <w:t>指有关防火规范技术规定的最小防火间距。</w:t>
      </w:r>
    </w:p>
    <w:p w14:paraId="11729C31">
      <w:pPr>
        <w:pStyle w:val="48"/>
        <w:spacing w:before="160" w:after="160"/>
        <w:outlineLvl w:val="9"/>
        <w:rPr>
          <w:rFonts w:hint="default"/>
        </w:rPr>
      </w:pPr>
      <w:r>
        <w:t>（十六）建筑保护</w:t>
      </w:r>
    </w:p>
    <w:p w14:paraId="375290E3">
      <w:pPr>
        <w:ind w:firstLine="640"/>
      </w:pPr>
      <w:r>
        <w:t>建筑保护</w:t>
      </w:r>
      <w:r>
        <w:rPr>
          <w:rFonts w:hint="eastAsia"/>
        </w:rPr>
        <w:t>指对文物建筑、革命历史建筑</w:t>
      </w:r>
      <w:r>
        <w:rPr>
          <w:rFonts w:hint="eastAsia"/>
          <w:lang w:eastAsia="zh-CN"/>
        </w:rPr>
        <w:t>及其他有</w:t>
      </w:r>
      <w:r>
        <w:rPr>
          <w:rFonts w:hint="eastAsia"/>
        </w:rPr>
        <w:t>纪念意义或者保留价值的建筑的保护。</w:t>
      </w:r>
    </w:p>
    <w:p w14:paraId="78B0AF57">
      <w:pPr>
        <w:pStyle w:val="48"/>
        <w:spacing w:before="160" w:after="160"/>
        <w:outlineLvl w:val="9"/>
        <w:rPr>
          <w:rFonts w:hint="default"/>
        </w:rPr>
      </w:pPr>
      <w:r>
        <w:t>（十七）山墙面</w:t>
      </w:r>
    </w:p>
    <w:p w14:paraId="2426F7F0">
      <w:pPr>
        <w:ind w:firstLine="640"/>
      </w:pPr>
      <w:r>
        <w:rPr>
          <w:rFonts w:hint="eastAsia"/>
        </w:rPr>
        <w:t>山墙面指建筑中面宽不大于20米（点式建筑山墙宽度总和大于25米）的短边，系建筑次要朝向。山墙面上一般不得开窗、挑阳台，仅考虑设置透气高窗，且窗洞尺寸不大于0.6米×0.6米；开设有卧室、客厅、餐厅、厨房等主要窗户的，应当视为建筑主要朝向或者主要采光面。</w:t>
      </w:r>
    </w:p>
    <w:p w14:paraId="19818C04">
      <w:pPr>
        <w:ind w:firstLine="640"/>
      </w:pPr>
    </w:p>
    <w:p w14:paraId="204C8E13">
      <w:pPr>
        <w:pStyle w:val="47"/>
        <w:outlineLvl w:val="1"/>
        <w:rPr>
          <w:rFonts w:hint="default"/>
        </w:rPr>
      </w:pPr>
      <w:bookmarkStart w:id="84" w:name="_Toc27536"/>
      <w:bookmarkStart w:id="85" w:name="_Toc5894"/>
      <w:bookmarkStart w:id="86" w:name="_Toc25887"/>
      <w:r>
        <w:t>三、计算规则</w:t>
      </w:r>
      <w:bookmarkEnd w:id="84"/>
      <w:bookmarkEnd w:id="85"/>
      <w:bookmarkEnd w:id="86"/>
    </w:p>
    <w:p w14:paraId="428D28E5">
      <w:pPr>
        <w:pStyle w:val="48"/>
        <w:spacing w:before="160" w:after="160"/>
        <w:outlineLvl w:val="9"/>
        <w:rPr>
          <w:rFonts w:hint="default"/>
        </w:rPr>
      </w:pPr>
      <w:r>
        <w:t>（一）建筑基地面积计算</w:t>
      </w:r>
    </w:p>
    <w:p w14:paraId="2417F4AD">
      <w:pPr>
        <w:ind w:firstLine="640"/>
      </w:pPr>
      <w:r>
        <w:rPr>
          <w:rFonts w:hint="eastAsia"/>
        </w:rPr>
        <w:t>建筑基地的面积以城乡规划行政主管部门正式划定用地范围的面积为准；城市道路规划红线和河道保护范围、城市预留发展用地等的面积不计入。</w:t>
      </w:r>
    </w:p>
    <w:p w14:paraId="32A7658F">
      <w:pPr>
        <w:pStyle w:val="48"/>
        <w:spacing w:before="160" w:after="160"/>
        <w:outlineLvl w:val="9"/>
        <w:rPr>
          <w:rFonts w:hint="default"/>
        </w:rPr>
      </w:pPr>
      <w:r>
        <w:t>（二）建筑间距计算</w:t>
      </w:r>
    </w:p>
    <w:p w14:paraId="7CB879E0">
      <w:pPr>
        <w:ind w:firstLine="640"/>
      </w:pPr>
      <w:r>
        <w:rPr>
          <w:rFonts w:hint="eastAsia"/>
        </w:rPr>
        <w:t>除另有规定外，建筑间距按照两幢建筑的外墙面之间最小的垂直距离计算。</w:t>
      </w:r>
    </w:p>
    <w:p w14:paraId="7FE2191F">
      <w:pPr>
        <w:ind w:firstLine="640"/>
      </w:pPr>
      <w:r>
        <w:rPr>
          <w:rFonts w:hint="eastAsia"/>
        </w:rPr>
        <w:t>坡度大于45度的坡屋面建筑，建筑间距按照自屋脊线在地面上的垂直投影线至被遮挡建筑的外墙面之间最小的垂直距离计算。</w:t>
      </w:r>
    </w:p>
    <w:p w14:paraId="1C9102C1">
      <w:pPr>
        <w:pStyle w:val="48"/>
        <w:spacing w:before="160" w:after="160"/>
        <w:outlineLvl w:val="9"/>
        <w:rPr>
          <w:rFonts w:hint="default"/>
        </w:rPr>
      </w:pPr>
      <w:r>
        <w:t>（三）建筑高度计算</w:t>
      </w:r>
    </w:p>
    <w:p w14:paraId="360E88D7">
      <w:pPr>
        <w:ind w:firstLine="640"/>
      </w:pPr>
      <w:r>
        <w:rPr>
          <w:rFonts w:hint="eastAsia"/>
        </w:rPr>
        <w:t>1</w:t>
      </w:r>
      <w:r>
        <w:rPr>
          <w:rFonts w:hint="eastAsia" w:ascii="宋体" w:hAnsi="宋体" w:eastAsia="宋体" w:cs="宋体"/>
        </w:rPr>
        <w:t>.</w:t>
      </w:r>
      <w:r>
        <w:rPr>
          <w:rFonts w:hint="eastAsia"/>
        </w:rPr>
        <w:t>平屋面建筑：挑檐屋面自室外地面算至檐口顶，加上檐口挑出宽度；有女儿墙的屋面，自室外地面算至女儿墙顶。</w:t>
      </w:r>
    </w:p>
    <w:p w14:paraId="0ADE3BEB">
      <w:pPr>
        <w:ind w:firstLine="640"/>
      </w:pPr>
      <w:r>
        <w:rPr>
          <w:rFonts w:hint="eastAsia"/>
        </w:rPr>
        <w:t>2</w:t>
      </w:r>
      <w:r>
        <w:rPr>
          <w:rFonts w:hint="eastAsia" w:ascii="宋体" w:hAnsi="宋体" w:eastAsia="宋体" w:cs="宋体"/>
        </w:rPr>
        <w:t>.</w:t>
      </w:r>
      <w:r>
        <w:rPr>
          <w:rFonts w:hint="eastAsia"/>
        </w:rPr>
        <w:t>坡屋面建筑：屋面坡度小于等于45度的，自室外地面算至檐口顶，加上檐口挑出宽度；坡度大于45度的，自室外地面算至屋脊顶。</w:t>
      </w:r>
    </w:p>
    <w:p w14:paraId="769CA7C1">
      <w:pPr>
        <w:ind w:firstLine="640"/>
      </w:pPr>
      <w:r>
        <w:rPr>
          <w:rFonts w:hint="eastAsia"/>
        </w:rPr>
        <w:t>3</w:t>
      </w:r>
      <w:r>
        <w:rPr>
          <w:rFonts w:hint="eastAsia" w:ascii="宋体" w:hAnsi="宋体" w:eastAsia="宋体" w:cs="宋体"/>
        </w:rPr>
        <w:t>.</w:t>
      </w:r>
      <w:r>
        <w:rPr>
          <w:rFonts w:hint="eastAsia"/>
        </w:rPr>
        <w:t>水箱、楼梯间、电梯间、机械房等突出屋面的附属设施，其高度在6米以内，且水平面积之和不超过屋面建筑面积1/4的，可以不计入建筑高度。</w:t>
      </w:r>
    </w:p>
    <w:sectPr>
      <w:footerReference r:id="rId37" w:type="default"/>
      <w:footerReference r:id="rId38" w:type="even"/>
      <w:pgSz w:w="11906" w:h="16838"/>
      <w:pgMar w:top="2098" w:right="1474" w:bottom="1985" w:left="1588" w:header="851" w:footer="992" w:gutter="0"/>
      <w:pgNumType w:fmt="numberInDash" w:start="48"/>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8F5A7D-547D-4F49-94F3-EC68F9060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34D507-174C-4B63-B18D-6C47A382634D}"/>
  </w:font>
  <w:font w:name="楷体_GB2312">
    <w:altName w:val="Arial Unicode MS"/>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正方小标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849006A9-2725-4ECA-8618-0E0D19E5B042}"/>
  </w:font>
  <w:font w:name="方正黑体简体">
    <w:panose1 w:val="02000000000000000000"/>
    <w:charset w:val="86"/>
    <w:family w:val="auto"/>
    <w:pitch w:val="default"/>
    <w:sig w:usb0="A00002BF" w:usb1="184F6CFA" w:usb2="00000012" w:usb3="00000000" w:csb0="00040001" w:csb1="00000000"/>
    <w:embedRegular r:id="rId4" w:fontKey="{0DE54827-5559-4B5E-8DE1-E442EAE40EEC}"/>
  </w:font>
  <w:font w:name="仿宋">
    <w:panose1 w:val="02010609060101010101"/>
    <w:charset w:val="86"/>
    <w:family w:val="modern"/>
    <w:pitch w:val="default"/>
    <w:sig w:usb0="800002BF" w:usb1="38CF7CFA" w:usb2="00000016" w:usb3="00000000" w:csb0="00040001" w:csb1="00000000"/>
    <w:embedRegular r:id="rId5" w:fontKey="{5DADF3C8-A3ED-4854-A07E-DD702E3390F8}"/>
  </w:font>
  <w:font w:name="WPSEMBED1">
    <w:panose1 w:val="02010609030101010101"/>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E234">
    <w:pPr>
      <w:pStyle w:val="15"/>
      <w:spacing w:after="1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44DD">
    <w:pPr>
      <w:pStyle w:val="15"/>
      <w:spacing w:after="120"/>
      <w:ind w:firstLine="0" w:firstLineChars="0"/>
    </w:pPr>
    <w:r>
      <w:pict>
        <v:shape id="_x0000_s3099" o:spid="_x0000_s3099"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path/>
          <v:fill on="f" focussize="0,0"/>
          <v:stroke on="f" weight="0.5pt" joinstyle="miter"/>
          <v:imagedata o:title=""/>
          <o:lock v:ext="edit"/>
          <v:textbox inset="0mm,0mm,0mm,0mm" style="mso-fit-shape-to-text:t;">
            <w:txbxContent>
              <w:p w14:paraId="531DD7EF">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r>
      <w:pict>
        <v:shape id="_x0000_s3098" o:spid="_x0000_s3098"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path/>
          <v:fill on="f" focussize="0,0"/>
          <v:stroke on="f" weight="0.5pt" joinstyle="miter"/>
          <v:imagedata o:title=""/>
          <o:lock v:ext="edit"/>
          <v:textbox inset="0mm,0mm,0mm,0mm" style="mso-fit-shape-to-text:t;">
            <w:txbxContent>
              <w:p w14:paraId="0E9B9346">
                <w:pPr>
                  <w:ind w:firstLine="640"/>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90BF">
    <w:pPr>
      <w:pStyle w:val="15"/>
      <w:spacing w:after="120"/>
      <w:ind w:firstLine="0" w:firstLineChars="0"/>
    </w:pPr>
    <w:r>
      <w:pict>
        <v:shape id="_x0000_s3097" o:spid="_x0000_s3097" o:spt="202" type="#_x0000_t202" style="position:absolute;left:0pt;margin-top:0pt;height:34.5pt;width:48.25pt;mso-position-horizontal:center;mso-position-horizontal-relative:margin;z-index:25171968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ItidYMgIAAFcEAAAOAAAAAAAAAAEAIAAAACEBAABkcnMvZTJvRG9jLnhtbFBL&#10;BQYAAAAABgAGAFkBAADFBQAAAAA=&#10;">
          <v:path/>
          <v:fill on="f" focussize="0,0"/>
          <v:stroke on="f" weight="0.5pt" joinstyle="miter"/>
          <v:imagedata o:title=""/>
          <o:lock v:ext="edit"/>
          <v:textbox inset="0mm,0mm,0mm,0mm">
            <w:txbxContent>
              <w:p w14:paraId="649D4537">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F534">
    <w:pPr>
      <w:pStyle w:val="15"/>
      <w:spacing w:after="120"/>
      <w:ind w:firstLine="0" w:firstLineChars="0"/>
    </w:pPr>
    <w:r>
      <w:pict>
        <v:shape id="_x0000_s3096" o:spid="_x0000_s309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path/>
          <v:fill on="f" focussize="0,0"/>
          <v:stroke on="f" weight="0.5pt" joinstyle="miter"/>
          <v:imagedata o:title=""/>
          <o:lock v:ext="edit"/>
          <v:textbox inset="0mm,0mm,0mm,0mm" style="mso-fit-shape-to-text:t;">
            <w:txbxContent>
              <w:p w14:paraId="29BB296D">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r>
      <w:pict>
        <v:shape id="_x0000_s3095" o:spid="_x0000_s3095"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path/>
          <v:fill on="f" focussize="0,0"/>
          <v:stroke on="f" weight="0.5pt" joinstyle="miter"/>
          <v:imagedata o:title=""/>
          <o:lock v:ext="edit"/>
          <v:textbox inset="0mm,0mm,0mm,0mm" style="mso-fit-shape-to-text:t;">
            <w:txbxContent>
              <w:p w14:paraId="602BF1C0">
                <w:pPr>
                  <w:ind w:firstLine="640"/>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F56D3">
    <w:pPr>
      <w:pStyle w:val="15"/>
      <w:spacing w:after="120"/>
      <w:ind w:firstLine="0" w:firstLineChars="0"/>
    </w:pPr>
    <w:r>
      <w:pict>
        <v:shape id="_x0000_s3094" o:spid="_x0000_s3094" o:spt="202" type="#_x0000_t202" style="position:absolute;left:0pt;margin-top:0pt;height:34.5pt;width:48.25pt;mso-position-horizontal:center;mso-position-horizontal-relative:margin;z-index:251716608;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9K/nTMgIAAFcEAAAOAAAAAAAAAAEAIAAAACEBAABkcnMvZTJvRG9jLnhtbFBL&#10;BQYAAAAABgAGAFkBAADFBQAAAAA=&#10;">
          <v:path/>
          <v:fill on="f" focussize="0,0"/>
          <v:stroke on="f" weight="0.5pt" joinstyle="miter"/>
          <v:imagedata o:title=""/>
          <o:lock v:ext="edit"/>
          <v:textbox inset="0mm,0mm,0mm,0mm">
            <w:txbxContent>
              <w:p w14:paraId="40367C96">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C6C0B">
    <w:pPr>
      <w:pStyle w:val="15"/>
      <w:spacing w:after="120"/>
      <w:ind w:firstLine="0" w:firstLineChars="0"/>
    </w:pPr>
    <w:r>
      <w:pict>
        <v:shape id="_x0000_s3093" o:spid="_x0000_s3093"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path/>
          <v:fill on="f" focussize="0,0"/>
          <v:stroke on="f" weight="0.5pt" joinstyle="miter"/>
          <v:imagedata o:title=""/>
          <o:lock v:ext="edit"/>
          <v:textbox inset="0mm,0mm,0mm,0mm" style="mso-fit-shape-to-text:t;">
            <w:txbxContent>
              <w:p w14:paraId="260C3B16">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r>
      <w:pict>
        <v:shape id="_x0000_s3092" o:spid="_x0000_s3092"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path/>
          <v:fill on="f" focussize="0,0"/>
          <v:stroke on="f" weight="0.5pt" joinstyle="miter"/>
          <v:imagedata o:title=""/>
          <o:lock v:ext="edit"/>
          <v:textbox inset="0mm,0mm,0mm,0mm" style="mso-fit-shape-to-text:t;">
            <w:txbxContent>
              <w:p w14:paraId="2C7FDC33">
                <w:pPr>
                  <w:ind w:firstLine="640"/>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2B39">
    <w:pPr>
      <w:pStyle w:val="15"/>
      <w:spacing w:after="120"/>
      <w:ind w:firstLine="0" w:firstLineChars="0"/>
    </w:pPr>
    <w:r>
      <w:pict>
        <v:shape id="_x0000_s3091" o:spid="_x0000_s3091" o:spt="202" type="#_x0000_t202" style="position:absolute;left:0pt;margin-top:0pt;height:34.5pt;width:48.25pt;mso-position-horizontal:center;mso-position-horizontal-relative:margin;z-index:25168691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wXokNIAAAADAQAADwAAAAAAAAABACAAAAAiAAAAZHJzL2Rvd25yZXYueG1sUEsBAhQA&#10;FAAAAAgAh07iQMoBtMcxAgAAVwQAAA4AAAAAAAAAAQAgAAAAIQEAAGRycy9lMm9Eb2MueG1sUEsF&#10;BgAAAAAGAAYAWQEAAMQFAAAAAA==&#10;">
          <v:path/>
          <v:fill on="f" focussize="0,0"/>
          <v:stroke on="f" weight="0.5pt" joinstyle="miter"/>
          <v:imagedata o:title=""/>
          <o:lock v:ext="edit"/>
          <v:textbox inset="0mm,0mm,0mm,0mm">
            <w:txbxContent>
              <w:p w14:paraId="7ECB5ECA">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FE2E">
    <w:pPr>
      <w:pStyle w:val="15"/>
      <w:spacing w:after="120"/>
      <w:ind w:firstLine="0" w:firstLineChars="0"/>
    </w:pPr>
    <w:r>
      <w:pict>
        <v:shape id="_x0000_s3090" o:spid="_x0000_s3090"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path/>
          <v:fill on="f" focussize="0,0"/>
          <v:stroke on="f" weight="0.5pt" joinstyle="miter"/>
          <v:imagedata o:title=""/>
          <o:lock v:ext="edit"/>
          <v:textbox inset="0mm,0mm,0mm,0mm" style="mso-fit-shape-to-text:t;">
            <w:txbxContent>
              <w:p w14:paraId="707B5F67">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r>
      <w:pict>
        <v:shape id="_x0000_s3089" o:spid="_x0000_s3089"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path/>
          <v:fill on="f" focussize="0,0"/>
          <v:stroke on="f" weight="0.5pt" joinstyle="miter"/>
          <v:imagedata o:title=""/>
          <o:lock v:ext="edit"/>
          <v:textbox inset="0mm,0mm,0mm,0mm" style="mso-fit-shape-to-text:t;">
            <w:txbxContent>
              <w:p w14:paraId="3246406B">
                <w:pPr>
                  <w:ind w:firstLine="640"/>
                </w:pP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6A5F">
    <w:pPr>
      <w:pStyle w:val="15"/>
      <w:spacing w:after="120"/>
      <w:ind w:firstLine="0" w:firstLineChars="0"/>
    </w:pPr>
    <w:r>
      <w:pict>
        <v:shape id="_x0000_s3088" o:spid="_x0000_s3088" o:spt="202" type="#_x0000_t202" style="position:absolute;left:0pt;margin-top:0pt;height:34.5pt;width:48.25pt;mso-position-horizontal:center;mso-position-horizontal-relative:margin;z-index:251701248;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B7qi6dMgIAAFcEAAAOAAAAAAAAAAEAIAAAACEBAABkcnMvZTJvRG9jLnhtbFBL&#10;BQYAAAAABgAGAFkBAADFBQAAAAA=&#10;">
          <v:path/>
          <v:fill on="f" focussize="0,0"/>
          <v:stroke on="f" weight="0.5pt" joinstyle="miter"/>
          <v:imagedata o:title=""/>
          <o:lock v:ext="edit"/>
          <v:textbox inset="0mm,0mm,0mm,0mm">
            <w:txbxContent>
              <w:p w14:paraId="48CB9CF6">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9ADC">
    <w:pPr>
      <w:pStyle w:val="15"/>
      <w:spacing w:after="120"/>
      <w:ind w:firstLine="0" w:firstLineChars="0"/>
    </w:pPr>
    <w:r>
      <w:pict>
        <v:shape id="_x0000_s3087" o:spid="_x0000_s3087"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path/>
          <v:fill on="f" focussize="0,0"/>
          <v:stroke on="f" weight="0.5pt" joinstyle="miter"/>
          <v:imagedata o:title=""/>
          <o:lock v:ext="edit"/>
          <v:textbox inset="0mm,0mm,0mm,0mm" style="mso-fit-shape-to-text:t;">
            <w:txbxContent>
              <w:p w14:paraId="609CC466">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v:textbox>
        </v:shape>
      </w:pict>
    </w:r>
    <w:r>
      <w:pict>
        <v:shape id="_x0000_s3086" o:spid="_x0000_s308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path/>
          <v:fill on="f" focussize="0,0"/>
          <v:stroke on="f" weight="0.5pt" joinstyle="miter"/>
          <v:imagedata o:title=""/>
          <o:lock v:ext="edit"/>
          <v:textbox inset="0mm,0mm,0mm,0mm" style="mso-fit-shape-to-text:t;">
            <w:txbxContent>
              <w:p w14:paraId="2BA0C894">
                <w:pPr>
                  <w:ind w:firstLine="640"/>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0E6C">
    <w:pPr>
      <w:pStyle w:val="15"/>
      <w:spacing w:after="120"/>
      <w:ind w:firstLine="0" w:firstLineChars="0"/>
    </w:pPr>
    <w:r>
      <w:pict>
        <v:shape id="_x0000_s3085" o:spid="_x0000_s3085" o:spt="202" type="#_x0000_t202" style="position:absolute;left:0pt;margin-top:0pt;height:34.5pt;width:48.25pt;mso-position-horizontal:center;mso-position-horizontal-relative:margin;z-index:25170432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hK+7oMgIAAFcEAAAOAAAAAAAAAAEAIAAAACEBAABkcnMvZTJvRG9jLnhtbFBL&#10;BQYAAAAABgAGAFkBAADFBQAAAAA=&#10;">
          <v:path/>
          <v:fill on="f" focussize="0,0"/>
          <v:stroke on="f" weight="0.5pt" joinstyle="miter"/>
          <v:imagedata o:title=""/>
          <o:lock v:ext="edit"/>
          <v:textbox inset="0mm,0mm,0mm,0mm">
            <w:txbxContent>
              <w:p w14:paraId="4220C350">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C421">
    <w:pPr>
      <w:pStyle w:val="15"/>
      <w:spacing w:after="120"/>
      <w:ind w:firstLine="0" w:firstLineChars="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0C06">
    <w:pPr>
      <w:pStyle w:val="15"/>
      <w:spacing w:after="120"/>
      <w:ind w:firstLine="0" w:firstLineChars="0"/>
    </w:pPr>
    <w:r>
      <w:pict>
        <v:shape id="_x0000_s3084" o:spid="_x0000_s3084"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FDD4149">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- 45 -</w:t>
                </w:r>
                <w:r>
                  <w:rPr>
                    <w:rFonts w:hint="eastAsia" w:ascii="宋体" w:hAnsi="宋体" w:eastAsia="宋体" w:cs="宋体"/>
                    <w:sz w:val="28"/>
                    <w:szCs w:val="28"/>
                  </w:rPr>
                  <w:fldChar w:fldCharType="end"/>
                </w:r>
              </w:p>
            </w:txbxContent>
          </v:textbox>
        </v:shape>
      </w:pict>
    </w:r>
    <w:r>
      <w:pict>
        <v:shape id="_x0000_s3083" o:spid="_x0000_s3083"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59ED0BA0">
                <w:pPr>
                  <w:ind w:firstLine="640"/>
                </w:pP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1626">
    <w:pPr>
      <w:pStyle w:val="15"/>
      <w:spacing w:after="120"/>
      <w:ind w:firstLine="0" w:firstLineChars="0"/>
    </w:pPr>
    <w:r>
      <w:pict>
        <v:shape id="_x0000_s3082" o:spid="_x0000_s3082" o:spt="202" type="#_x0000_t202" style="position:absolute;left:0pt;margin-top:0pt;height:34.5pt;width:48.25pt;mso-position-horizontal:center;mso-position-horizontal-relative:margin;z-index:25172275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wXokNIAAAADAQAADwAAAAAAAAABACAAAAAiAAAAZHJzL2Rvd25yZXYueG1sUEsBAhQA&#10;FAAAAAgAh07iQPTF+5wxAgAAVQQAAA4AAAAAAAAAAQAgAAAAIQEAAGRycy9lMm9Eb2MueG1sUEsF&#10;BgAAAAAGAAYAWQEAAMQFAAAAAA==&#10;">
          <v:path/>
          <v:fill on="f" focussize="0,0"/>
          <v:stroke on="f" weight="0.5pt" joinstyle="miter"/>
          <v:imagedata o:title=""/>
          <o:lock v:ext="edit"/>
          <v:textbox inset="0mm,0mm,0mm,0mm">
            <w:txbxContent>
              <w:p w14:paraId="7621D3C1">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AC68">
    <w:pPr>
      <w:pStyle w:val="15"/>
      <w:spacing w:after="120"/>
      <w:ind w:firstLine="0" w:firstLineChars="0"/>
    </w:pPr>
    <w:r>
      <w:pict>
        <v:shape id="_x0000_s3081" o:spid="_x0000_s3081"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path/>
          <v:fill on="f" focussize="0,0"/>
          <v:stroke on="f" weight="0.5pt" joinstyle="miter"/>
          <v:imagedata o:title=""/>
          <o:lock v:ext="edit"/>
          <v:textbox inset="0mm,0mm,0mm,0mm" style="mso-fit-shape-to-text:t;">
            <w:txbxContent>
              <w:p w14:paraId="683329B1">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- 47 -</w:t>
                </w:r>
                <w:r>
                  <w:rPr>
                    <w:rFonts w:hint="eastAsia" w:ascii="宋体" w:hAnsi="宋体" w:eastAsia="宋体" w:cs="宋体"/>
                    <w:sz w:val="28"/>
                    <w:szCs w:val="28"/>
                  </w:rPr>
                  <w:fldChar w:fldCharType="end"/>
                </w:r>
              </w:p>
            </w:txbxContent>
          </v:textbox>
        </v:shape>
      </w:pict>
    </w:r>
    <w:r>
      <w:pict>
        <v:shape id="_x0000_s3080" o:spid="_x0000_s3080"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path/>
          <v:fill on="f" focussize="0,0"/>
          <v:stroke on="f" weight="0.5pt" joinstyle="miter"/>
          <v:imagedata o:title=""/>
          <o:lock v:ext="edit"/>
          <v:textbox inset="0mm,0mm,0mm,0mm" style="mso-fit-shape-to-text:t;">
            <w:txbxContent>
              <w:p w14:paraId="38B87D2C">
                <w:pPr>
                  <w:ind w:firstLine="640"/>
                </w:pP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E99C4">
    <w:pPr>
      <w:pStyle w:val="15"/>
      <w:spacing w:after="120"/>
      <w:ind w:firstLine="0" w:firstLineChars="0"/>
    </w:pPr>
    <w:r>
      <w:pict>
        <v:shape id="_x0000_s3079" o:spid="_x0000_s3079" o:spt="202" type="#_x0000_t202" style="position:absolute;left:0pt;margin-top:0pt;height:34.5pt;width:48.25pt;mso-position-horizontal:center;mso-position-horizontal-relative:margin;z-index:25170739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UBJaFMgIAAFcEAAAOAAAAAAAAAAEAIAAAACEBAABkcnMvZTJvRG9jLnhtbFBL&#10;BQYAAAAABgAGAFkBAADFBQAAAAA=&#10;">
          <v:path/>
          <v:fill on="f" focussize="0,0"/>
          <v:stroke on="f" weight="0.5pt" joinstyle="miter"/>
          <v:imagedata o:title=""/>
          <o:lock v:ext="edit"/>
          <v:textbox inset="0mm,0mm,0mm,0mm">
            <w:txbxContent>
              <w:p w14:paraId="1C854822">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E111">
    <w:pPr>
      <w:pStyle w:val="15"/>
      <w:spacing w:after="120"/>
      <w:ind w:firstLine="0" w:firstLineChars="0"/>
    </w:pPr>
    <w:r>
      <w:pict>
        <v:shape id="_x0000_s3078" o:spid="_x0000_s3078"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path/>
          <v:fill on="f" focussize="0,0"/>
          <v:stroke on="f" weight="0.5pt" joinstyle="miter"/>
          <v:imagedata o:title=""/>
          <o:lock v:ext="edit"/>
          <v:textbox inset="0mm,0mm,0mm,0mm" style="mso-fit-shape-to-text:t;">
            <w:txbxContent>
              <w:p w14:paraId="403C5CEF">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- 47 -</w:t>
                </w:r>
                <w:r>
                  <w:rPr>
                    <w:rFonts w:hint="eastAsia" w:ascii="宋体" w:hAnsi="宋体" w:eastAsia="宋体" w:cs="宋体"/>
                    <w:sz w:val="28"/>
                    <w:szCs w:val="28"/>
                  </w:rPr>
                  <w:fldChar w:fldCharType="end"/>
                </w:r>
              </w:p>
            </w:txbxContent>
          </v:textbox>
        </v:shape>
      </w:pict>
    </w:r>
    <w:r>
      <w:pict>
        <v:shape id="_x0000_s3077" o:spid="_x0000_s3077"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path/>
          <v:fill on="f" focussize="0,0"/>
          <v:stroke on="f" weight="0.5pt" joinstyle="miter"/>
          <v:imagedata o:title=""/>
          <o:lock v:ext="edit"/>
          <v:textbox inset="0mm,0mm,0mm,0mm" style="mso-fit-shape-to-text:t;">
            <w:txbxContent>
              <w:p w14:paraId="78A556F1">
                <w:pPr>
                  <w:ind w:firstLine="640"/>
                </w:pP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FE83D">
    <w:pPr>
      <w:pStyle w:val="15"/>
      <w:spacing w:after="120"/>
      <w:ind w:firstLine="0" w:firstLineChars="0"/>
    </w:pPr>
    <w:r>
      <w:pict>
        <v:shape id="_x0000_s3076" o:spid="_x0000_s3076" o:spt="202" type="#_x0000_t202" style="position:absolute;left:0pt;margin-top:0pt;height:34.5pt;width:48.25pt;mso-position-horizontal:center;mso-position-horizontal-relative:margin;z-index:251710464;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eHvBwMgIAAFcEAAAOAAAAAAAAAAEAIAAAACEBAABkcnMvZTJvRG9jLnhtbFBL&#10;BQYAAAAABgAGAFkBAADFBQAAAAA=&#10;">
          <v:path/>
          <v:fill on="f" focussize="0,0"/>
          <v:stroke on="f" weight="0.5pt" joinstyle="miter"/>
          <v:imagedata o:title=""/>
          <o:lock v:ext="edit"/>
          <v:textbox inset="0mm,0mm,0mm,0mm">
            <w:txbxContent>
              <w:p w14:paraId="6D1644DE">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6BBF">
    <w:pPr>
      <w:pStyle w:val="15"/>
      <w:spacing w:after="120"/>
      <w:ind w:firstLine="0" w:firstLineChars="0"/>
    </w:pPr>
    <w:r>
      <w:pict>
        <v:shape id="_x0000_s3075" o:spid="_x0000_s3075"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path/>
          <v:fill on="f" focussize="0,0"/>
          <v:stroke on="f" weight="0.5pt" joinstyle="miter"/>
          <v:imagedata o:title=""/>
          <o:lock v:ext="edit"/>
          <v:textbox inset="0mm,0mm,0mm,0mm" style="mso-fit-shape-to-text:t;">
            <w:txbxContent>
              <w:p w14:paraId="0DB50AE9">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v:textbox>
        </v:shape>
      </w:pict>
    </w:r>
    <w:r>
      <w:pict>
        <v:shape id="_x0000_s3074" o:spid="_x0000_s3074"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path/>
          <v:fill on="f" focussize="0,0"/>
          <v:stroke on="f" weight="0.5pt" joinstyle="miter"/>
          <v:imagedata o:title=""/>
          <o:lock v:ext="edit"/>
          <v:textbox inset="0mm,0mm,0mm,0mm" style="mso-fit-shape-to-text:t;">
            <w:txbxContent>
              <w:p w14:paraId="3E32C802">
                <w:pPr>
                  <w:ind w:firstLine="640"/>
                </w:pP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9EFE">
    <w:pPr>
      <w:pStyle w:val="15"/>
      <w:spacing w:after="120"/>
      <w:ind w:firstLine="0" w:firstLineChars="0"/>
    </w:pPr>
    <w:r>
      <w:pict>
        <v:shape id="_x0000_s3073" o:spid="_x0000_s3073" o:spt="202" type="#_x0000_t202" style="position:absolute;left:0pt;margin-top:0pt;height:34.5pt;width:48.25pt;mso-position-horizontal:center;mso-position-horizontal-relative:margin;z-index:251713536;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0Rf2zMgIAAFkEAAAOAAAAAAAAAAEAIAAAACEBAABkcnMvZTJvRG9jLnhtbFBL&#10;BQYAAAAABgAGAFkBAADFBQAAAAA=&#10;">
          <v:path/>
          <v:fill on="f" focussize="0,0"/>
          <v:stroke on="f" weight="0.5pt" joinstyle="miter"/>
          <v:imagedata o:title=""/>
          <o:lock v:ext="edit"/>
          <v:textbox inset="0mm,0mm,0mm,0mm">
            <w:txbxContent>
              <w:p w14:paraId="6F98936E">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81E5">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26DB">
    <w:pPr>
      <w:pStyle w:val="15"/>
      <w:spacing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30F5">
    <w:pPr>
      <w:pStyle w:val="15"/>
      <w:spacing w:after="120"/>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C444">
    <w:pPr>
      <w:pStyle w:val="15"/>
      <w:spacing w:after="120"/>
      <w:ind w:firstLine="0" w:firstLineChars="0"/>
    </w:pPr>
    <w:r>
      <w:pict>
        <v:shape id="_x0000_s3103" o:spid="_x0000_s310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75E8BE5B">
                <w:pPr>
                  <w:ind w:firstLine="640"/>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1340">
    <w:pPr>
      <w:pStyle w:val="15"/>
      <w:spacing w:after="120"/>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1E25">
    <w:pPr>
      <w:pStyle w:val="15"/>
      <w:spacing w:after="120"/>
      <w:ind w:firstLine="0" w:firstLineChars="0"/>
    </w:pPr>
    <w:r>
      <w:pict>
        <v:shape id="_x0000_s3102" o:spid="_x0000_s310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path/>
          <v:fill on="f" focussize="0,0"/>
          <v:stroke on="f" weight="0.5pt" joinstyle="miter"/>
          <v:imagedata o:title=""/>
          <o:lock v:ext="edit"/>
          <v:textbox inset="0mm,0mm,0mm,0mm" style="mso-fit-shape-to-text:t;">
            <w:txbxContent>
              <w:p w14:paraId="560A7438">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pict>
        <v:shape id="_x0000_s3101" o:spid="_x0000_s3101"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path/>
          <v:fill on="f" focussize="0,0"/>
          <v:stroke on="f" weight="0.5pt" joinstyle="miter"/>
          <v:imagedata o:title=""/>
          <o:lock v:ext="edit"/>
          <v:textbox inset="0mm,0mm,0mm,0mm" style="mso-fit-shape-to-text:t;">
            <w:txbxContent>
              <w:p w14:paraId="611A13E3">
                <w:pPr>
                  <w:ind w:firstLine="640"/>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B556">
    <w:pPr>
      <w:pStyle w:val="15"/>
      <w:spacing w:after="120"/>
      <w:ind w:firstLine="0" w:firstLineChars="0"/>
    </w:pPr>
    <w:r>
      <w:pict>
        <v:shape id="_x0000_s3100" o:spid="_x0000_s3100" o:spt="202" type="#_x0000_t202" style="position:absolute;left:0pt;margin-top:0pt;height:34.5pt;width:48.25pt;mso-position-horizontal:center;mso-position-horizontal-relative:margin;z-index:25167360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phhuCMgIAAFcEAAAOAAAAAAAAAAEAIAAAACEBAABkcnMvZTJvRG9jLnhtbFBL&#10;BQYAAAAABgAGAFkBAADFBQAAAAA=&#10;">
          <v:path/>
          <v:fill on="f" focussize="0,0"/>
          <v:stroke on="f" weight="0.5pt" joinstyle="miter"/>
          <v:imagedata o:title=""/>
          <o:lock v:ext="edit"/>
          <v:textbox inset="0mm,0mm,0mm,0mm">
            <w:txbxContent>
              <w:p w14:paraId="5CE0C4CF">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4FC2">
    <w:pPr>
      <w:pStyle w:val="16"/>
      <w:pBdr>
        <w:bottom w:val="none" w:color="auto" w:sz="0" w:space="0"/>
      </w:pBdr>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F38B">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B34D">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74CE">
    <w:pPr>
      <w:pStyle w:val="16"/>
      <w:pBdr>
        <w:bottom w:val="none" w:color="auto" w:sz="0" w:space="0"/>
      </w:pBdr>
      <w:spacing w:after="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52AA">
    <w:pPr>
      <w:pStyle w:val="16"/>
      <w:pBdr>
        <w:bottom w:val="none" w:color="auto" w:sz="0" w:space="1"/>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165E">
    <w:pPr>
      <w:pStyle w:val="16"/>
      <w:pBdr>
        <w:bottom w:val="none" w:color="auto" w:sz="0" w:space="0"/>
      </w:pBdr>
      <w:spacing w:after="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5840">
    <w:pPr>
      <w:pStyle w:val="16"/>
      <w:pBdr>
        <w:bottom w:val="none" w:color="auto" w:sz="0" w:space="1"/>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FED721D"/>
    <w:multiLevelType w:val="singleLevel"/>
    <w:tmpl w:val="DFED721D"/>
    <w:lvl w:ilvl="0" w:tentative="0">
      <w:start w:val="5"/>
      <w:numFmt w:val="chineseCounting"/>
      <w:suff w:val="nothing"/>
      <w:lvlText w:val="（%1）"/>
      <w:lvlJc w:val="left"/>
      <w:rPr>
        <w:rFonts w:hint="eastAsia"/>
      </w:rPr>
    </w:lvl>
  </w:abstractNum>
  <w:abstractNum w:abstractNumId="2">
    <w:nsid w:val="53E82D1E"/>
    <w:multiLevelType w:val="multilevel"/>
    <w:tmpl w:val="53E82D1E"/>
    <w:lvl w:ilvl="0" w:tentative="0">
      <w:start w:val="1"/>
      <w:numFmt w:val="bullet"/>
      <w:pStyle w:val="35"/>
      <w:lvlText w:val=""/>
      <w:lvlJc w:val="left"/>
      <w:pPr>
        <w:ind w:left="942" w:hanging="440"/>
      </w:pPr>
      <w:rPr>
        <w:rFonts w:hint="default" w:ascii="Wingdings" w:hAnsi="Wingdings"/>
      </w:rPr>
    </w:lvl>
    <w:lvl w:ilvl="1" w:tentative="0">
      <w:start w:val="1"/>
      <w:numFmt w:val="bullet"/>
      <w:lvlText w:val=""/>
      <w:lvlJc w:val="left"/>
      <w:pPr>
        <w:ind w:left="1382" w:hanging="440"/>
      </w:pPr>
      <w:rPr>
        <w:rFonts w:hint="default" w:ascii="Wingdings" w:hAnsi="Wingdings"/>
      </w:rPr>
    </w:lvl>
    <w:lvl w:ilvl="2" w:tentative="0">
      <w:start w:val="1"/>
      <w:numFmt w:val="bullet"/>
      <w:lvlText w:val=""/>
      <w:lvlJc w:val="left"/>
      <w:pPr>
        <w:ind w:left="1822" w:hanging="440"/>
      </w:pPr>
      <w:rPr>
        <w:rFonts w:hint="default" w:ascii="Wingdings" w:hAnsi="Wingdings"/>
      </w:rPr>
    </w:lvl>
    <w:lvl w:ilvl="3" w:tentative="0">
      <w:start w:val="1"/>
      <w:numFmt w:val="bullet"/>
      <w:lvlText w:val=""/>
      <w:lvlJc w:val="left"/>
      <w:pPr>
        <w:ind w:left="2262" w:hanging="440"/>
      </w:pPr>
      <w:rPr>
        <w:rFonts w:hint="default" w:ascii="Wingdings" w:hAnsi="Wingdings"/>
      </w:rPr>
    </w:lvl>
    <w:lvl w:ilvl="4" w:tentative="0">
      <w:start w:val="1"/>
      <w:numFmt w:val="bullet"/>
      <w:lvlText w:val=""/>
      <w:lvlJc w:val="left"/>
      <w:pPr>
        <w:ind w:left="2702" w:hanging="440"/>
      </w:pPr>
      <w:rPr>
        <w:rFonts w:hint="default" w:ascii="Wingdings" w:hAnsi="Wingdings"/>
      </w:rPr>
    </w:lvl>
    <w:lvl w:ilvl="5" w:tentative="0">
      <w:start w:val="1"/>
      <w:numFmt w:val="bullet"/>
      <w:lvlText w:val=""/>
      <w:lvlJc w:val="left"/>
      <w:pPr>
        <w:ind w:left="3142" w:hanging="440"/>
      </w:pPr>
      <w:rPr>
        <w:rFonts w:hint="default" w:ascii="Wingdings" w:hAnsi="Wingdings"/>
      </w:rPr>
    </w:lvl>
    <w:lvl w:ilvl="6" w:tentative="0">
      <w:start w:val="1"/>
      <w:numFmt w:val="bullet"/>
      <w:lvlText w:val=""/>
      <w:lvlJc w:val="left"/>
      <w:pPr>
        <w:ind w:left="3582" w:hanging="440"/>
      </w:pPr>
      <w:rPr>
        <w:rFonts w:hint="default" w:ascii="Wingdings" w:hAnsi="Wingdings"/>
      </w:rPr>
    </w:lvl>
    <w:lvl w:ilvl="7" w:tentative="0">
      <w:start w:val="1"/>
      <w:numFmt w:val="bullet"/>
      <w:lvlText w:val=""/>
      <w:lvlJc w:val="left"/>
      <w:pPr>
        <w:ind w:left="4022" w:hanging="440"/>
      </w:pPr>
      <w:rPr>
        <w:rFonts w:hint="default" w:ascii="Wingdings" w:hAnsi="Wingdings"/>
      </w:rPr>
    </w:lvl>
    <w:lvl w:ilvl="8" w:tentative="0">
      <w:start w:val="1"/>
      <w:numFmt w:val="bullet"/>
      <w:lvlText w:val=""/>
      <w:lvlJc w:val="left"/>
      <w:pPr>
        <w:ind w:left="4462"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RkNTQzYjlhMGQwYTAwODAxYWJlMjRmY2RkMjAwN2EifQ=="/>
  </w:docVars>
  <w:rsids>
    <w:rsidRoot w:val="005D21EB"/>
    <w:rsid w:val="00000E60"/>
    <w:rsid w:val="0002018A"/>
    <w:rsid w:val="00025671"/>
    <w:rsid w:val="000B70C5"/>
    <w:rsid w:val="00100CB3"/>
    <w:rsid w:val="001650F4"/>
    <w:rsid w:val="00191483"/>
    <w:rsid w:val="00293672"/>
    <w:rsid w:val="002A5DD1"/>
    <w:rsid w:val="002C36B3"/>
    <w:rsid w:val="00325672"/>
    <w:rsid w:val="00385C24"/>
    <w:rsid w:val="003C0CCE"/>
    <w:rsid w:val="003E2D14"/>
    <w:rsid w:val="00452ACF"/>
    <w:rsid w:val="00454D74"/>
    <w:rsid w:val="004562DE"/>
    <w:rsid w:val="00481CA7"/>
    <w:rsid w:val="004D404F"/>
    <w:rsid w:val="00534521"/>
    <w:rsid w:val="00570A90"/>
    <w:rsid w:val="005C104C"/>
    <w:rsid w:val="005C357A"/>
    <w:rsid w:val="005D21EB"/>
    <w:rsid w:val="005D34B6"/>
    <w:rsid w:val="005F1EB3"/>
    <w:rsid w:val="00616849"/>
    <w:rsid w:val="006A4396"/>
    <w:rsid w:val="00713C48"/>
    <w:rsid w:val="00791BD1"/>
    <w:rsid w:val="008C7A7C"/>
    <w:rsid w:val="008C7DCD"/>
    <w:rsid w:val="008D50FB"/>
    <w:rsid w:val="00915782"/>
    <w:rsid w:val="00915E37"/>
    <w:rsid w:val="00927436"/>
    <w:rsid w:val="0099696A"/>
    <w:rsid w:val="009A514B"/>
    <w:rsid w:val="00A006C8"/>
    <w:rsid w:val="00A1539C"/>
    <w:rsid w:val="00A5212A"/>
    <w:rsid w:val="00A57D69"/>
    <w:rsid w:val="00A81EF8"/>
    <w:rsid w:val="00A835C5"/>
    <w:rsid w:val="00AA4DF3"/>
    <w:rsid w:val="00AD5CC7"/>
    <w:rsid w:val="00AF6693"/>
    <w:rsid w:val="00B30682"/>
    <w:rsid w:val="00B30C5B"/>
    <w:rsid w:val="00B411B2"/>
    <w:rsid w:val="00B667DE"/>
    <w:rsid w:val="00B95C7C"/>
    <w:rsid w:val="00C013D6"/>
    <w:rsid w:val="00C25967"/>
    <w:rsid w:val="00C5134B"/>
    <w:rsid w:val="00C67EF7"/>
    <w:rsid w:val="00CF04EF"/>
    <w:rsid w:val="00D57D8A"/>
    <w:rsid w:val="00D61189"/>
    <w:rsid w:val="00D72607"/>
    <w:rsid w:val="00D73D7C"/>
    <w:rsid w:val="00D761FC"/>
    <w:rsid w:val="00DB7739"/>
    <w:rsid w:val="00DC0E64"/>
    <w:rsid w:val="00DC2332"/>
    <w:rsid w:val="00E170AD"/>
    <w:rsid w:val="00E55B51"/>
    <w:rsid w:val="00E750E9"/>
    <w:rsid w:val="00E83009"/>
    <w:rsid w:val="00F104E3"/>
    <w:rsid w:val="00F66F31"/>
    <w:rsid w:val="00F732CD"/>
    <w:rsid w:val="00FA35BF"/>
    <w:rsid w:val="00FE5784"/>
    <w:rsid w:val="00FF37DF"/>
    <w:rsid w:val="00FF7A2A"/>
    <w:rsid w:val="01213882"/>
    <w:rsid w:val="012F41F1"/>
    <w:rsid w:val="017646BC"/>
    <w:rsid w:val="018F3A45"/>
    <w:rsid w:val="01E21263"/>
    <w:rsid w:val="02090B42"/>
    <w:rsid w:val="02816CCE"/>
    <w:rsid w:val="03035935"/>
    <w:rsid w:val="03E300E1"/>
    <w:rsid w:val="03F37758"/>
    <w:rsid w:val="04383993"/>
    <w:rsid w:val="044C0C16"/>
    <w:rsid w:val="04714B20"/>
    <w:rsid w:val="04A1128B"/>
    <w:rsid w:val="04B30A16"/>
    <w:rsid w:val="04BA5D2D"/>
    <w:rsid w:val="04DA35BA"/>
    <w:rsid w:val="0541642A"/>
    <w:rsid w:val="0571302A"/>
    <w:rsid w:val="05EF03F3"/>
    <w:rsid w:val="063B1146"/>
    <w:rsid w:val="06400C4E"/>
    <w:rsid w:val="066A7A0C"/>
    <w:rsid w:val="073562D9"/>
    <w:rsid w:val="073A7161"/>
    <w:rsid w:val="08470072"/>
    <w:rsid w:val="084859A3"/>
    <w:rsid w:val="08856DEC"/>
    <w:rsid w:val="09045F63"/>
    <w:rsid w:val="09322AD0"/>
    <w:rsid w:val="097D1872"/>
    <w:rsid w:val="0A232419"/>
    <w:rsid w:val="0A535F6B"/>
    <w:rsid w:val="0A5B6057"/>
    <w:rsid w:val="0AA90B70"/>
    <w:rsid w:val="0AF65BAA"/>
    <w:rsid w:val="0B154457"/>
    <w:rsid w:val="0B6F731B"/>
    <w:rsid w:val="0B7D1FFD"/>
    <w:rsid w:val="0BB84DE3"/>
    <w:rsid w:val="0BBE4AEF"/>
    <w:rsid w:val="0BBF2615"/>
    <w:rsid w:val="0BEA58E4"/>
    <w:rsid w:val="0C1741FF"/>
    <w:rsid w:val="0CEC031F"/>
    <w:rsid w:val="0D1C170F"/>
    <w:rsid w:val="0D7F305A"/>
    <w:rsid w:val="0DC0318D"/>
    <w:rsid w:val="0DC932D7"/>
    <w:rsid w:val="0E6F20D1"/>
    <w:rsid w:val="0E7C35A5"/>
    <w:rsid w:val="0E975954"/>
    <w:rsid w:val="0E98410E"/>
    <w:rsid w:val="0EBB3568"/>
    <w:rsid w:val="0F644B5A"/>
    <w:rsid w:val="0FE3049D"/>
    <w:rsid w:val="0FF656AB"/>
    <w:rsid w:val="10067F4A"/>
    <w:rsid w:val="108026D8"/>
    <w:rsid w:val="109A0F5B"/>
    <w:rsid w:val="10C82997"/>
    <w:rsid w:val="10D95F27"/>
    <w:rsid w:val="112635D3"/>
    <w:rsid w:val="114809B7"/>
    <w:rsid w:val="11D30BC8"/>
    <w:rsid w:val="11F748B7"/>
    <w:rsid w:val="11FC011F"/>
    <w:rsid w:val="12062D4C"/>
    <w:rsid w:val="12940358"/>
    <w:rsid w:val="131E7C21"/>
    <w:rsid w:val="136F4921"/>
    <w:rsid w:val="142C636E"/>
    <w:rsid w:val="14327E28"/>
    <w:rsid w:val="14522278"/>
    <w:rsid w:val="14A610D8"/>
    <w:rsid w:val="15202377"/>
    <w:rsid w:val="15AC3C0A"/>
    <w:rsid w:val="15B616B1"/>
    <w:rsid w:val="15FD45BA"/>
    <w:rsid w:val="168B7CC4"/>
    <w:rsid w:val="16AD3796"/>
    <w:rsid w:val="16D62785"/>
    <w:rsid w:val="175D25D3"/>
    <w:rsid w:val="179901BE"/>
    <w:rsid w:val="17B84AE8"/>
    <w:rsid w:val="18861934"/>
    <w:rsid w:val="18D05E62"/>
    <w:rsid w:val="19B60BB4"/>
    <w:rsid w:val="19EF056A"/>
    <w:rsid w:val="1A29511E"/>
    <w:rsid w:val="1A3731A6"/>
    <w:rsid w:val="1A606D71"/>
    <w:rsid w:val="1A864A2A"/>
    <w:rsid w:val="1AC437A4"/>
    <w:rsid w:val="1BCB29BD"/>
    <w:rsid w:val="1C5A43C0"/>
    <w:rsid w:val="1CD777BF"/>
    <w:rsid w:val="1D352737"/>
    <w:rsid w:val="1D493CD2"/>
    <w:rsid w:val="1D5020A4"/>
    <w:rsid w:val="1D8D4321"/>
    <w:rsid w:val="1D943752"/>
    <w:rsid w:val="1DA022A7"/>
    <w:rsid w:val="1DCB4E4A"/>
    <w:rsid w:val="1F7818E9"/>
    <w:rsid w:val="20085EE1"/>
    <w:rsid w:val="20711CD8"/>
    <w:rsid w:val="20765541"/>
    <w:rsid w:val="209112ED"/>
    <w:rsid w:val="2113466A"/>
    <w:rsid w:val="211D29BA"/>
    <w:rsid w:val="211F1734"/>
    <w:rsid w:val="2329689A"/>
    <w:rsid w:val="23713D9D"/>
    <w:rsid w:val="239B0E1A"/>
    <w:rsid w:val="23C67966"/>
    <w:rsid w:val="24264B88"/>
    <w:rsid w:val="242A0B1C"/>
    <w:rsid w:val="24A361D8"/>
    <w:rsid w:val="25783B09"/>
    <w:rsid w:val="25A0096A"/>
    <w:rsid w:val="25E116AE"/>
    <w:rsid w:val="25F52A64"/>
    <w:rsid w:val="25FF7D86"/>
    <w:rsid w:val="26500F46"/>
    <w:rsid w:val="26EA00EF"/>
    <w:rsid w:val="275F6D2E"/>
    <w:rsid w:val="279B74F8"/>
    <w:rsid w:val="28472C7A"/>
    <w:rsid w:val="286A7AFB"/>
    <w:rsid w:val="28E03E9F"/>
    <w:rsid w:val="29824F56"/>
    <w:rsid w:val="29A17ED3"/>
    <w:rsid w:val="2A4B17EC"/>
    <w:rsid w:val="2A8B3997"/>
    <w:rsid w:val="2AAB228B"/>
    <w:rsid w:val="2AD15A4E"/>
    <w:rsid w:val="2ADB491E"/>
    <w:rsid w:val="2B346D67"/>
    <w:rsid w:val="2B595843"/>
    <w:rsid w:val="2B7663F5"/>
    <w:rsid w:val="2BD72F94"/>
    <w:rsid w:val="2C9F53B1"/>
    <w:rsid w:val="2CA945A8"/>
    <w:rsid w:val="2CCE1484"/>
    <w:rsid w:val="2D5C0AE1"/>
    <w:rsid w:val="2D6C3F53"/>
    <w:rsid w:val="2D806010"/>
    <w:rsid w:val="2D9321FE"/>
    <w:rsid w:val="2DAD111F"/>
    <w:rsid w:val="2E734E6D"/>
    <w:rsid w:val="2E797ACE"/>
    <w:rsid w:val="2E92792B"/>
    <w:rsid w:val="2F7B222C"/>
    <w:rsid w:val="2F882B9B"/>
    <w:rsid w:val="2FBC45F2"/>
    <w:rsid w:val="2FD1299D"/>
    <w:rsid w:val="2FD951A4"/>
    <w:rsid w:val="304D13E0"/>
    <w:rsid w:val="31384310"/>
    <w:rsid w:val="31613F4D"/>
    <w:rsid w:val="31AB491E"/>
    <w:rsid w:val="31F369F1"/>
    <w:rsid w:val="3341553A"/>
    <w:rsid w:val="33D20888"/>
    <w:rsid w:val="3494637E"/>
    <w:rsid w:val="34CB5A03"/>
    <w:rsid w:val="34E0563C"/>
    <w:rsid w:val="358D2CB9"/>
    <w:rsid w:val="35AF0E81"/>
    <w:rsid w:val="36453593"/>
    <w:rsid w:val="36F023EE"/>
    <w:rsid w:val="37492C0F"/>
    <w:rsid w:val="37904CE2"/>
    <w:rsid w:val="37A8202C"/>
    <w:rsid w:val="397228F1"/>
    <w:rsid w:val="39B527DE"/>
    <w:rsid w:val="39E11825"/>
    <w:rsid w:val="39ED01CA"/>
    <w:rsid w:val="3A064DE8"/>
    <w:rsid w:val="3A44520E"/>
    <w:rsid w:val="3A6366DE"/>
    <w:rsid w:val="3AA5765C"/>
    <w:rsid w:val="3AEC66D3"/>
    <w:rsid w:val="3B442377"/>
    <w:rsid w:val="3B9C1479"/>
    <w:rsid w:val="3C263534"/>
    <w:rsid w:val="3CD240A9"/>
    <w:rsid w:val="3CE138EA"/>
    <w:rsid w:val="3D87100D"/>
    <w:rsid w:val="3E3143FD"/>
    <w:rsid w:val="3E815CDE"/>
    <w:rsid w:val="3E921D79"/>
    <w:rsid w:val="3EA177D5"/>
    <w:rsid w:val="3EF23B8C"/>
    <w:rsid w:val="3F2A6DF4"/>
    <w:rsid w:val="40183AC7"/>
    <w:rsid w:val="40E3190E"/>
    <w:rsid w:val="40F40090"/>
    <w:rsid w:val="424E37D0"/>
    <w:rsid w:val="42666D6B"/>
    <w:rsid w:val="42BD1989"/>
    <w:rsid w:val="42BE0955"/>
    <w:rsid w:val="42D53EF1"/>
    <w:rsid w:val="43217136"/>
    <w:rsid w:val="435968D0"/>
    <w:rsid w:val="43AF6CB4"/>
    <w:rsid w:val="45B35AB9"/>
    <w:rsid w:val="45E85CE9"/>
    <w:rsid w:val="46902609"/>
    <w:rsid w:val="471A6376"/>
    <w:rsid w:val="47961EA1"/>
    <w:rsid w:val="47A45C40"/>
    <w:rsid w:val="47BC0824"/>
    <w:rsid w:val="47E04ECA"/>
    <w:rsid w:val="4813679C"/>
    <w:rsid w:val="482D69F6"/>
    <w:rsid w:val="484127BA"/>
    <w:rsid w:val="486648F8"/>
    <w:rsid w:val="48C02F2F"/>
    <w:rsid w:val="48C2056E"/>
    <w:rsid w:val="493E20B6"/>
    <w:rsid w:val="49586684"/>
    <w:rsid w:val="498D1081"/>
    <w:rsid w:val="49BC3715"/>
    <w:rsid w:val="4A0155CC"/>
    <w:rsid w:val="4AC5386B"/>
    <w:rsid w:val="4ACF7478"/>
    <w:rsid w:val="4B386DCB"/>
    <w:rsid w:val="4B427C4A"/>
    <w:rsid w:val="4B967397"/>
    <w:rsid w:val="4BEA4569"/>
    <w:rsid w:val="4CF51418"/>
    <w:rsid w:val="4D4001B9"/>
    <w:rsid w:val="4D467EC5"/>
    <w:rsid w:val="4D6E3946"/>
    <w:rsid w:val="4D754306"/>
    <w:rsid w:val="4D846800"/>
    <w:rsid w:val="4DE923F9"/>
    <w:rsid w:val="4DFF071E"/>
    <w:rsid w:val="4E984750"/>
    <w:rsid w:val="4EB86BA1"/>
    <w:rsid w:val="4F732AC8"/>
    <w:rsid w:val="4F9A0268"/>
    <w:rsid w:val="511107EA"/>
    <w:rsid w:val="51377F22"/>
    <w:rsid w:val="517A013D"/>
    <w:rsid w:val="51861C76"/>
    <w:rsid w:val="52320A18"/>
    <w:rsid w:val="526241F7"/>
    <w:rsid w:val="52F537F4"/>
    <w:rsid w:val="52FE08FA"/>
    <w:rsid w:val="538171A5"/>
    <w:rsid w:val="5394521A"/>
    <w:rsid w:val="55C51BA3"/>
    <w:rsid w:val="55C5599D"/>
    <w:rsid w:val="55CF4B7A"/>
    <w:rsid w:val="55DF0EB7"/>
    <w:rsid w:val="55F83D27"/>
    <w:rsid w:val="56130B60"/>
    <w:rsid w:val="56427AEB"/>
    <w:rsid w:val="564F4F74"/>
    <w:rsid w:val="56AF56A6"/>
    <w:rsid w:val="573033CE"/>
    <w:rsid w:val="57AF14C3"/>
    <w:rsid w:val="57F60C46"/>
    <w:rsid w:val="57FB4891"/>
    <w:rsid w:val="59570D64"/>
    <w:rsid w:val="5A5C0D28"/>
    <w:rsid w:val="5A8F12AA"/>
    <w:rsid w:val="5AAE1E59"/>
    <w:rsid w:val="5AE40D1D"/>
    <w:rsid w:val="5B04316E"/>
    <w:rsid w:val="5B281254"/>
    <w:rsid w:val="5BEB7F91"/>
    <w:rsid w:val="5BF705DC"/>
    <w:rsid w:val="5C292E8C"/>
    <w:rsid w:val="5C2A6C04"/>
    <w:rsid w:val="5C3830CF"/>
    <w:rsid w:val="5D2B74AE"/>
    <w:rsid w:val="5D8F5D8E"/>
    <w:rsid w:val="5DC50992"/>
    <w:rsid w:val="5F430A91"/>
    <w:rsid w:val="5F557AF4"/>
    <w:rsid w:val="5F7674A3"/>
    <w:rsid w:val="5FD87748"/>
    <w:rsid w:val="60161979"/>
    <w:rsid w:val="61497B2C"/>
    <w:rsid w:val="617A292C"/>
    <w:rsid w:val="61A30FEA"/>
    <w:rsid w:val="62145A44"/>
    <w:rsid w:val="623205C0"/>
    <w:rsid w:val="62402CDD"/>
    <w:rsid w:val="626E1B00"/>
    <w:rsid w:val="62A414BE"/>
    <w:rsid w:val="62D41677"/>
    <w:rsid w:val="63071A4D"/>
    <w:rsid w:val="6384309D"/>
    <w:rsid w:val="639343EA"/>
    <w:rsid w:val="63D211E0"/>
    <w:rsid w:val="64155AA4"/>
    <w:rsid w:val="65CB4FB4"/>
    <w:rsid w:val="6603474E"/>
    <w:rsid w:val="66240220"/>
    <w:rsid w:val="67915D89"/>
    <w:rsid w:val="679715F1"/>
    <w:rsid w:val="67BF3E31"/>
    <w:rsid w:val="67D5211A"/>
    <w:rsid w:val="688444FB"/>
    <w:rsid w:val="68BC6E36"/>
    <w:rsid w:val="68D54B51"/>
    <w:rsid w:val="68D777CC"/>
    <w:rsid w:val="68E72104"/>
    <w:rsid w:val="691205EE"/>
    <w:rsid w:val="692F20E8"/>
    <w:rsid w:val="69886D18"/>
    <w:rsid w:val="69A41DA4"/>
    <w:rsid w:val="6A190A03"/>
    <w:rsid w:val="6A5A6906"/>
    <w:rsid w:val="6A841BD5"/>
    <w:rsid w:val="6B785296"/>
    <w:rsid w:val="6C4E2B26"/>
    <w:rsid w:val="6C944351"/>
    <w:rsid w:val="6CB467A2"/>
    <w:rsid w:val="6D231231"/>
    <w:rsid w:val="6D8B6DD7"/>
    <w:rsid w:val="6DA57E98"/>
    <w:rsid w:val="6EF47329"/>
    <w:rsid w:val="6EFA2466"/>
    <w:rsid w:val="6EFC065A"/>
    <w:rsid w:val="6F2244C2"/>
    <w:rsid w:val="6F9A1FCA"/>
    <w:rsid w:val="70090BB2"/>
    <w:rsid w:val="70473FC9"/>
    <w:rsid w:val="70F50292"/>
    <w:rsid w:val="71551BD5"/>
    <w:rsid w:val="71901641"/>
    <w:rsid w:val="71FE2CCF"/>
    <w:rsid w:val="7201319A"/>
    <w:rsid w:val="72BA2CB8"/>
    <w:rsid w:val="72D81639"/>
    <w:rsid w:val="72E3094A"/>
    <w:rsid w:val="73384FBA"/>
    <w:rsid w:val="73FB4CB6"/>
    <w:rsid w:val="744D6AA6"/>
    <w:rsid w:val="74A278C7"/>
    <w:rsid w:val="74D13C69"/>
    <w:rsid w:val="754D1541"/>
    <w:rsid w:val="763444AF"/>
    <w:rsid w:val="765D3A06"/>
    <w:rsid w:val="766034F6"/>
    <w:rsid w:val="766B71C6"/>
    <w:rsid w:val="768F16E6"/>
    <w:rsid w:val="76AA2E7A"/>
    <w:rsid w:val="76DB492B"/>
    <w:rsid w:val="774B7D02"/>
    <w:rsid w:val="781C51FB"/>
    <w:rsid w:val="7851759A"/>
    <w:rsid w:val="78A74324"/>
    <w:rsid w:val="78C31B1A"/>
    <w:rsid w:val="79287455"/>
    <w:rsid w:val="795A5FDB"/>
    <w:rsid w:val="7A2D1941"/>
    <w:rsid w:val="7B0C59FB"/>
    <w:rsid w:val="7B5A49B8"/>
    <w:rsid w:val="7B762E74"/>
    <w:rsid w:val="7CB20C31"/>
    <w:rsid w:val="7CDB7B38"/>
    <w:rsid w:val="7CE3278B"/>
    <w:rsid w:val="7D2A660C"/>
    <w:rsid w:val="7DDD71DA"/>
    <w:rsid w:val="7DEB18F7"/>
    <w:rsid w:val="7E0E799C"/>
    <w:rsid w:val="7E1D00D0"/>
    <w:rsid w:val="7E355268"/>
    <w:rsid w:val="7E417769"/>
    <w:rsid w:val="7E837D82"/>
    <w:rsid w:val="7E953F59"/>
    <w:rsid w:val="7EF69551"/>
    <w:rsid w:val="7F1F7878"/>
    <w:rsid w:val="7F392B36"/>
    <w:rsid w:val="7F651B7D"/>
    <w:rsid w:val="7F7E49ED"/>
    <w:rsid w:val="7FB977D3"/>
    <w:rsid w:val="7FCE46B9"/>
    <w:rsid w:val="CD746F4B"/>
    <w:rsid w:val="FF3F3201"/>
    <w:rsid w:val="FFEEE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883" w:firstLineChars="200"/>
      <w:jc w:val="both"/>
    </w:pPr>
    <w:rPr>
      <w:rFonts w:ascii="Times New Roman" w:hAnsi="Times New Roman" w:eastAsia="楷体_GB2312" w:cstheme="minorBidi"/>
      <w:kern w:val="2"/>
      <w:sz w:val="32"/>
      <w:szCs w:val="24"/>
      <w:lang w:val="en-US" w:eastAsia="zh-CN" w:bidi="ar-SA"/>
    </w:rPr>
  </w:style>
  <w:style w:type="paragraph" w:styleId="2">
    <w:name w:val="heading 1"/>
    <w:basedOn w:val="1"/>
    <w:next w:val="1"/>
    <w:link w:val="27"/>
    <w:qFormat/>
    <w:uiPriority w:val="9"/>
    <w:pPr>
      <w:keepNext/>
      <w:keepLines/>
      <w:numPr>
        <w:ilvl w:val="0"/>
        <w:numId w:val="1"/>
      </w:numPr>
      <w:tabs>
        <w:tab w:val="left" w:pos="0"/>
      </w:tabs>
      <w:spacing w:beforeLines="50" w:line="288" w:lineRule="auto"/>
      <w:outlineLvl w:val="0"/>
    </w:pPr>
    <w:rPr>
      <w:rFonts w:ascii="Arial" w:hAnsi="Arial" w:eastAsia="微软雅黑"/>
      <w:bCs/>
      <w:kern w:val="44"/>
      <w:sz w:val="44"/>
    </w:rPr>
  </w:style>
  <w:style w:type="paragraph" w:styleId="3">
    <w:name w:val="heading 2"/>
    <w:basedOn w:val="1"/>
    <w:next w:val="1"/>
    <w:link w:val="28"/>
    <w:unhideWhenUsed/>
    <w:qFormat/>
    <w:uiPriority w:val="9"/>
    <w:pPr>
      <w:numPr>
        <w:ilvl w:val="1"/>
        <w:numId w:val="1"/>
      </w:numPr>
      <w:tabs>
        <w:tab w:val="left" w:pos="0"/>
      </w:tabs>
      <w:spacing w:line="640" w:lineRule="exact"/>
      <w:ind w:left="0" w:firstLine="0"/>
      <w:outlineLvl w:val="1"/>
    </w:pPr>
    <w:rPr>
      <w:rFonts w:ascii="Arial" w:hAnsi="Arial" w:eastAsia="黑体"/>
    </w:rPr>
  </w:style>
  <w:style w:type="paragraph" w:styleId="4">
    <w:name w:val="heading 3"/>
    <w:next w:val="1"/>
    <w:link w:val="34"/>
    <w:unhideWhenUsed/>
    <w:qFormat/>
    <w:uiPriority w:val="9"/>
    <w:pPr>
      <w:numPr>
        <w:ilvl w:val="2"/>
        <w:numId w:val="1"/>
      </w:numPr>
      <w:tabs>
        <w:tab w:val="left" w:pos="312"/>
      </w:tabs>
      <w:outlineLvl w:val="2"/>
    </w:pPr>
    <w:rPr>
      <w:rFonts w:ascii="Arial" w:hAnsi="Arial" w:eastAsia="微软雅黑" w:cstheme="minorBidi"/>
      <w:b/>
      <w:kern w:val="2"/>
      <w:sz w:val="30"/>
      <w:szCs w:val="30"/>
      <w:lang w:val="en-US" w:eastAsia="zh-CN" w:bidi="ar-SA"/>
    </w:rPr>
  </w:style>
  <w:style w:type="paragraph" w:styleId="5">
    <w:name w:val="heading 4"/>
    <w:next w:val="1"/>
    <w:unhideWhenUsed/>
    <w:qFormat/>
    <w:uiPriority w:val="9"/>
    <w:pPr>
      <w:numPr>
        <w:ilvl w:val="3"/>
        <w:numId w:val="1"/>
      </w:numPr>
      <w:outlineLvl w:val="3"/>
    </w:pPr>
    <w:rPr>
      <w:rFonts w:ascii="Arial" w:hAnsi="Arial" w:eastAsia="微软雅黑" w:cstheme="minorBidi"/>
      <w:b/>
      <w:sz w:val="28"/>
      <w:lang w:val="en-US" w:eastAsia="zh-CN" w:bidi="ar-SA"/>
    </w:rPr>
  </w:style>
  <w:style w:type="paragraph" w:styleId="6">
    <w:name w:val="heading 5"/>
    <w:next w:val="1"/>
    <w:unhideWhenUsed/>
    <w:qFormat/>
    <w:uiPriority w:val="9"/>
    <w:pPr>
      <w:numPr>
        <w:ilvl w:val="4"/>
        <w:numId w:val="1"/>
      </w:numPr>
      <w:tabs>
        <w:tab w:val="left" w:pos="312"/>
      </w:tabs>
      <w:spacing w:beforeLines="30" w:afterLines="30"/>
      <w:outlineLvl w:val="4"/>
    </w:pPr>
    <w:rPr>
      <w:rFonts w:ascii="Arial" w:hAnsi="Arial" w:eastAsia="微软雅黑" w:cstheme="minorBidi"/>
      <w:b/>
      <w:sz w:val="24"/>
      <w:szCs w:val="22"/>
      <w:lang w:val="en-US" w:eastAsia="zh-CN" w:bidi="ar-SA"/>
    </w:rPr>
  </w:style>
  <w:style w:type="paragraph" w:styleId="7">
    <w:name w:val="heading 6"/>
    <w:next w:val="1"/>
    <w:unhideWhenUsed/>
    <w:qFormat/>
    <w:uiPriority w:val="0"/>
    <w:pPr>
      <w:numPr>
        <w:ilvl w:val="5"/>
        <w:numId w:val="1"/>
      </w:numPr>
      <w:spacing w:beforeLines="30" w:afterLines="30" w:line="312" w:lineRule="auto"/>
      <w:outlineLvl w:val="5"/>
    </w:pPr>
    <w:rPr>
      <w:rFonts w:ascii="Arial" w:hAnsi="Arial" w:eastAsia="微软雅黑" w:cstheme="minorBidi"/>
      <w:b/>
      <w:sz w:val="24"/>
      <w:lang w:val="en-US" w:eastAsia="zh-CN" w:bidi="ar-SA"/>
    </w:rPr>
  </w:style>
  <w:style w:type="paragraph" w:styleId="8">
    <w:name w:val="heading 7"/>
    <w:next w:val="1"/>
    <w:unhideWhenUsed/>
    <w:qFormat/>
    <w:uiPriority w:val="0"/>
    <w:pPr>
      <w:numPr>
        <w:ilvl w:val="6"/>
        <w:numId w:val="1"/>
      </w:numPr>
      <w:spacing w:beforeLines="30" w:afterLines="30" w:line="312" w:lineRule="auto"/>
      <w:outlineLvl w:val="6"/>
    </w:pPr>
    <w:rPr>
      <w:rFonts w:ascii="Arial" w:hAnsi="Arial" w:eastAsia="微软雅黑" w:cstheme="minorBidi"/>
      <w:b/>
      <w:sz w:val="24"/>
      <w:lang w:val="en-US" w:eastAsia="zh-CN" w:bidi="ar-SA"/>
    </w:rPr>
  </w:style>
  <w:style w:type="paragraph" w:styleId="9">
    <w:name w:val="heading 8"/>
    <w:next w:val="1"/>
    <w:unhideWhenUsed/>
    <w:qFormat/>
    <w:uiPriority w:val="0"/>
    <w:pPr>
      <w:numPr>
        <w:ilvl w:val="7"/>
        <w:numId w:val="1"/>
      </w:numPr>
      <w:spacing w:beforeLines="30" w:afterLines="30" w:line="312" w:lineRule="auto"/>
      <w:outlineLvl w:val="7"/>
    </w:pPr>
    <w:rPr>
      <w:rFonts w:eastAsia="微软雅黑" w:asciiTheme="majorHAnsi" w:hAnsiTheme="majorHAnsi" w:cstheme="majorBidi"/>
      <w:b/>
      <w:sz w:val="24"/>
      <w:lang w:val="en-US" w:eastAsia="zh-CN" w:bidi="ar-SA"/>
    </w:rPr>
  </w:style>
  <w:style w:type="paragraph" w:styleId="10">
    <w:name w:val="heading 9"/>
    <w:next w:val="1"/>
    <w:unhideWhenUsed/>
    <w:qFormat/>
    <w:uiPriority w:val="0"/>
    <w:pPr>
      <w:numPr>
        <w:ilvl w:val="8"/>
        <w:numId w:val="1"/>
      </w:numPr>
      <w:spacing w:beforeLines="30" w:afterLines="30" w:line="312" w:lineRule="auto"/>
      <w:outlineLvl w:val="8"/>
    </w:pPr>
    <w:rPr>
      <w:rFonts w:eastAsia="微软雅黑" w:asciiTheme="majorHAnsi" w:hAnsiTheme="majorHAnsi" w:cstheme="majorBidi"/>
      <w:b/>
      <w:sz w:val="24"/>
      <w:szCs w:val="21"/>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ascii="Arial" w:hAnsi="Arial" w:eastAsia="黑体"/>
      <w:sz w:val="20"/>
    </w:rPr>
  </w:style>
  <w:style w:type="paragraph" w:styleId="12">
    <w:name w:val="annotation text"/>
    <w:basedOn w:val="1"/>
    <w:semiHidden/>
    <w:unhideWhenUsed/>
    <w:qFormat/>
    <w:uiPriority w:val="99"/>
    <w:pPr>
      <w:jc w:val="left"/>
    </w:pPr>
  </w:style>
  <w:style w:type="paragraph" w:styleId="13">
    <w:name w:val="Body Text"/>
    <w:basedOn w:val="1"/>
    <w:qFormat/>
    <w:uiPriority w:val="0"/>
    <w:pPr>
      <w:spacing w:before="100" w:after="100"/>
      <w:ind w:firstLine="1041"/>
    </w:pPr>
  </w:style>
  <w:style w:type="paragraph" w:styleId="14">
    <w:name w:val="Balloon Text"/>
    <w:basedOn w:val="1"/>
    <w:link w:val="45"/>
    <w:semiHidden/>
    <w:unhideWhenUsed/>
    <w:qFormat/>
    <w:uiPriority w:val="99"/>
    <w:pPr>
      <w:spacing w:line="240" w:lineRule="auto"/>
    </w:pPr>
    <w:rPr>
      <w:sz w:val="18"/>
      <w:szCs w:val="18"/>
    </w:rPr>
  </w:style>
  <w:style w:type="paragraph" w:styleId="15">
    <w:name w:val="footer"/>
    <w:basedOn w:val="1"/>
    <w:link w:val="31"/>
    <w:unhideWhenUsed/>
    <w:qFormat/>
    <w:uiPriority w:val="0"/>
    <w:pPr>
      <w:tabs>
        <w:tab w:val="center" w:pos="4153"/>
        <w:tab w:val="right" w:pos="8306"/>
      </w:tabs>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style>
  <w:style w:type="paragraph" w:styleId="18">
    <w:name w:val="Subtitle"/>
    <w:basedOn w:val="1"/>
    <w:qFormat/>
    <w:uiPriority w:val="0"/>
    <w:pPr>
      <w:spacing w:line="240" w:lineRule="auto"/>
      <w:jc w:val="center"/>
    </w:pPr>
    <w:rPr>
      <w:rFonts w:ascii="Arial" w:hAnsi="Arial"/>
      <w:b/>
      <w:kern w:val="28"/>
      <w:sz w:val="44"/>
    </w:rPr>
  </w:style>
  <w:style w:type="paragraph" w:styleId="19">
    <w:name w:val="toc 2"/>
    <w:basedOn w:val="1"/>
    <w:next w:val="1"/>
    <w:unhideWhenUsed/>
    <w:qFormat/>
    <w:uiPriority w:val="39"/>
    <w:pPr>
      <w:ind w:left="420" w:leftChars="200"/>
    </w:pPr>
  </w:style>
  <w:style w:type="paragraph" w:styleId="20">
    <w:name w:val="Title"/>
    <w:basedOn w:val="1"/>
    <w:qFormat/>
    <w:uiPriority w:val="10"/>
    <w:pPr>
      <w:spacing w:line="240" w:lineRule="auto"/>
      <w:jc w:val="center"/>
    </w:pPr>
    <w:rPr>
      <w:rFonts w:ascii="Arial" w:hAnsi="Arial"/>
      <w:b/>
      <w:sz w:val="48"/>
      <w:szCs w:val="40"/>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rFonts w:ascii="Arial" w:hAnsi="Arial" w:eastAsia="微软雅黑"/>
      <w:b/>
      <w:color w:val="auto"/>
      <w:u w:val="single"/>
    </w:rPr>
  </w:style>
  <w:style w:type="character" w:styleId="25">
    <w:name w:val="Emphasis"/>
    <w:basedOn w:val="23"/>
    <w:qFormat/>
    <w:uiPriority w:val="20"/>
    <w:rPr>
      <w:rFonts w:ascii="Arial" w:hAnsi="Arial" w:eastAsia="微软雅黑"/>
      <w:b/>
      <w:bCs/>
      <w:i/>
      <w:color w:val="auto"/>
      <w:sz w:val="24"/>
      <w:szCs w:val="22"/>
    </w:rPr>
  </w:style>
  <w:style w:type="character" w:styleId="26">
    <w:name w:val="annotation reference"/>
    <w:basedOn w:val="23"/>
    <w:semiHidden/>
    <w:unhideWhenUsed/>
    <w:qFormat/>
    <w:uiPriority w:val="99"/>
    <w:rPr>
      <w:sz w:val="21"/>
      <w:szCs w:val="21"/>
    </w:rPr>
  </w:style>
  <w:style w:type="character" w:customStyle="1" w:styleId="27">
    <w:name w:val="标题 1 Char"/>
    <w:link w:val="2"/>
    <w:qFormat/>
    <w:uiPriority w:val="0"/>
    <w:rPr>
      <w:rFonts w:ascii="Arial" w:hAnsi="Arial" w:eastAsia="微软雅黑" w:cstheme="minorBidi"/>
      <w:bCs/>
      <w:kern w:val="44"/>
      <w:sz w:val="44"/>
    </w:rPr>
  </w:style>
  <w:style w:type="character" w:customStyle="1" w:styleId="28">
    <w:name w:val="标题 2 Char"/>
    <w:link w:val="3"/>
    <w:qFormat/>
    <w:uiPriority w:val="0"/>
    <w:rPr>
      <w:rFonts w:ascii="Arial" w:hAnsi="Arial" w:eastAsia="黑体" w:cstheme="minorBidi"/>
      <w:kern w:val="2"/>
      <w:sz w:val="32"/>
    </w:rPr>
  </w:style>
  <w:style w:type="paragraph" w:customStyle="1" w:styleId="29">
    <w:name w:val="2"/>
    <w:qFormat/>
    <w:uiPriority w:val="0"/>
    <w:pPr>
      <w:spacing w:before="120" w:after="120" w:line="288" w:lineRule="auto"/>
    </w:pPr>
    <w:rPr>
      <w:rFonts w:ascii="Arial" w:hAnsi="Arial" w:eastAsia="等线" w:cs="Arial"/>
      <w:sz w:val="22"/>
      <w:szCs w:val="22"/>
      <w:lang w:val="en-US" w:eastAsia="zh-CN" w:bidi="ar-SA"/>
    </w:rPr>
  </w:style>
  <w:style w:type="character" w:customStyle="1" w:styleId="30">
    <w:name w:val="页眉 Char"/>
    <w:basedOn w:val="23"/>
    <w:link w:val="16"/>
    <w:qFormat/>
    <w:uiPriority w:val="0"/>
    <w:rPr>
      <w:sz w:val="18"/>
      <w:szCs w:val="18"/>
    </w:rPr>
  </w:style>
  <w:style w:type="character" w:customStyle="1" w:styleId="31">
    <w:name w:val="页脚 Char"/>
    <w:basedOn w:val="23"/>
    <w:link w:val="15"/>
    <w:qFormat/>
    <w:uiPriority w:val="0"/>
    <w:rPr>
      <w:sz w:val="18"/>
      <w:szCs w:val="18"/>
    </w:rPr>
  </w:style>
  <w:style w:type="paragraph" w:styleId="32">
    <w:name w:val="List Paragraph"/>
    <w:basedOn w:val="1"/>
    <w:qFormat/>
    <w:uiPriority w:val="1"/>
    <w:pPr>
      <w:ind w:firstLine="420"/>
    </w:pPr>
  </w:style>
  <w:style w:type="paragraph" w:customStyle="1" w:styleId="33">
    <w:name w:val="List Paragraph1"/>
    <w:basedOn w:val="1"/>
    <w:qFormat/>
    <w:uiPriority w:val="99"/>
    <w:pPr>
      <w:ind w:firstLine="420"/>
    </w:pPr>
    <w:rPr>
      <w:rFonts w:ascii="Calibri" w:hAnsi="Calibri" w:eastAsia="宋体"/>
      <w:szCs w:val="21"/>
    </w:rPr>
  </w:style>
  <w:style w:type="character" w:customStyle="1" w:styleId="34">
    <w:name w:val="标题 3 Char"/>
    <w:link w:val="4"/>
    <w:qFormat/>
    <w:uiPriority w:val="9"/>
    <w:rPr>
      <w:rFonts w:ascii="Arial" w:hAnsi="Arial" w:eastAsia="微软雅黑" w:cstheme="minorBidi"/>
      <w:b/>
      <w:kern w:val="2"/>
      <w:sz w:val="30"/>
      <w:szCs w:val="30"/>
    </w:rPr>
  </w:style>
  <w:style w:type="paragraph" w:customStyle="1" w:styleId="35">
    <w:name w:val="修改说明"/>
    <w:qFormat/>
    <w:uiPriority w:val="0"/>
    <w:pPr>
      <w:numPr>
        <w:ilvl w:val="0"/>
        <w:numId w:val="2"/>
      </w:numPr>
      <w:spacing w:beforeLines="50" w:afterLines="50"/>
      <w:ind w:left="0" w:firstLine="0"/>
    </w:pPr>
    <w:rPr>
      <w:rFonts w:ascii="Times New Roman" w:hAnsi="Times New Roman" w:eastAsia="宋体" w:cs="Times New Roman"/>
      <w:b/>
      <w:color w:val="FF0000"/>
      <w:u w:val="wave"/>
      <w:lang w:val="en-US" w:eastAsia="zh-CN" w:bidi="ar-SA"/>
    </w:rPr>
  </w:style>
  <w:style w:type="paragraph" w:customStyle="1" w:styleId="36">
    <w:name w:val="表格"/>
    <w:basedOn w:val="1"/>
    <w:qFormat/>
    <w:uiPriority w:val="0"/>
    <w:pPr>
      <w:spacing w:line="240" w:lineRule="auto"/>
      <w:jc w:val="center"/>
    </w:pPr>
    <w:rPr>
      <w:bCs/>
    </w:rPr>
  </w:style>
  <w:style w:type="paragraph" w:customStyle="1" w:styleId="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
    <w:name w:val="文档说明标题"/>
    <w:basedOn w:val="1"/>
    <w:qFormat/>
    <w:uiPriority w:val="0"/>
    <w:pPr>
      <w:spacing w:line="240" w:lineRule="auto"/>
      <w:jc w:val="center"/>
    </w:pPr>
    <w:rPr>
      <w:b/>
      <w:sz w:val="52"/>
      <w:szCs w:val="40"/>
    </w:rPr>
  </w:style>
  <w:style w:type="paragraph" w:customStyle="1" w:styleId="39">
    <w:name w:val="附录标题"/>
    <w:basedOn w:val="1"/>
    <w:qFormat/>
    <w:uiPriority w:val="0"/>
    <w:pPr>
      <w:spacing w:after="157" w:line="240" w:lineRule="auto"/>
      <w:jc w:val="left"/>
      <w:outlineLvl w:val="0"/>
    </w:pPr>
    <w:rPr>
      <w:rFonts w:hint="eastAsia" w:ascii="Arial" w:hAnsi="Arial"/>
      <w:b/>
      <w:kern w:val="28"/>
      <w:sz w:val="36"/>
    </w:rPr>
  </w:style>
  <w:style w:type="paragraph" w:customStyle="1" w:styleId="40">
    <w:name w:val="章标题"/>
    <w:basedOn w:val="1"/>
    <w:qFormat/>
    <w:uiPriority w:val="0"/>
    <w:pPr>
      <w:spacing w:after="157" w:line="240" w:lineRule="auto"/>
      <w:jc w:val="center"/>
      <w:outlineLvl w:val="0"/>
    </w:pPr>
    <w:rPr>
      <w:rFonts w:hint="eastAsia" w:ascii="Arial" w:hAnsi="Arial"/>
      <w:b/>
      <w:kern w:val="28"/>
      <w:sz w:val="44"/>
    </w:rPr>
  </w:style>
  <w:style w:type="paragraph" w:customStyle="1" w:styleId="41">
    <w:name w:val="节标题"/>
    <w:basedOn w:val="1"/>
    <w:qFormat/>
    <w:uiPriority w:val="0"/>
    <w:pPr>
      <w:spacing w:line="240" w:lineRule="auto"/>
      <w:jc w:val="center"/>
      <w:outlineLvl w:val="0"/>
    </w:pPr>
    <w:rPr>
      <w:rFonts w:hint="eastAsia" w:ascii="Arial" w:hAnsi="Arial"/>
      <w:b/>
      <w:kern w:val="28"/>
    </w:rPr>
  </w:style>
  <w:style w:type="character" w:customStyle="1" w:styleId="42">
    <w:name w:val="摘要"/>
    <w:basedOn w:val="23"/>
    <w:qFormat/>
    <w:uiPriority w:val="0"/>
    <w:rPr>
      <w:rFonts w:hint="eastAsia" w:ascii="Arial" w:hAnsi="Arial"/>
      <w:b/>
      <w:lang w:val="en-US" w:eastAsia="zh-CN"/>
    </w:rPr>
  </w:style>
  <w:style w:type="character" w:customStyle="1" w:styleId="43">
    <w:name w:val="关键词"/>
    <w:basedOn w:val="23"/>
    <w:qFormat/>
    <w:uiPriority w:val="0"/>
    <w:rPr>
      <w:rFonts w:hint="eastAsia" w:ascii="Arial" w:hAnsi="Arial"/>
      <w:b/>
      <w:lang w:val="en-US" w:eastAsia="zh-CN"/>
    </w:rPr>
  </w:style>
  <w:style w:type="paragraph" w:customStyle="1" w:styleId="44">
    <w:name w:val="题注1"/>
    <w:basedOn w:val="1"/>
    <w:qFormat/>
    <w:uiPriority w:val="0"/>
    <w:pPr>
      <w:jc w:val="center"/>
    </w:pPr>
    <w:rPr>
      <w:rFonts w:hint="eastAsia" w:ascii="Arial" w:hAnsi="Arial"/>
      <w:sz w:val="20"/>
    </w:rPr>
  </w:style>
  <w:style w:type="character" w:customStyle="1" w:styleId="45">
    <w:name w:val="批注框文本 Char"/>
    <w:basedOn w:val="23"/>
    <w:link w:val="14"/>
    <w:semiHidden/>
    <w:qFormat/>
    <w:uiPriority w:val="99"/>
    <w:rPr>
      <w:rFonts w:eastAsia="微软雅黑" w:asciiTheme="minorHAnsi" w:hAnsiTheme="minorHAnsi" w:cstheme="minorBidi"/>
      <w:kern w:val="2"/>
      <w:sz w:val="18"/>
      <w:szCs w:val="18"/>
    </w:rPr>
  </w:style>
  <w:style w:type="paragraph" w:customStyle="1" w:styleId="46">
    <w:name w:val="题目"/>
    <w:basedOn w:val="1"/>
    <w:qFormat/>
    <w:uiPriority w:val="0"/>
    <w:pPr>
      <w:spacing w:line="640" w:lineRule="exact"/>
      <w:ind w:firstLine="0" w:firstLineChars="0"/>
    </w:pPr>
    <w:rPr>
      <w:rFonts w:eastAsia="正方小标宋简体" w:asciiTheme="minorHAnsi" w:hAnsiTheme="minorHAnsi"/>
      <w:sz w:val="44"/>
    </w:rPr>
  </w:style>
  <w:style w:type="paragraph" w:customStyle="1" w:styleId="47">
    <w:name w:val="一级"/>
    <w:basedOn w:val="1"/>
    <w:next w:val="1"/>
    <w:qFormat/>
    <w:uiPriority w:val="0"/>
    <w:pPr>
      <w:keepNext/>
      <w:keepLines/>
      <w:tabs>
        <w:tab w:val="left" w:pos="0"/>
      </w:tabs>
      <w:spacing w:before="240" w:line="640" w:lineRule="exact"/>
      <w:ind w:firstLine="0" w:firstLineChars="0"/>
      <w:outlineLvl w:val="0"/>
    </w:pPr>
    <w:rPr>
      <w:rFonts w:hint="eastAsia" w:ascii="Arial" w:hAnsi="Arial" w:eastAsia="黑体"/>
      <w:bCs/>
      <w:kern w:val="44"/>
    </w:rPr>
  </w:style>
  <w:style w:type="paragraph" w:customStyle="1" w:styleId="48">
    <w:name w:val="二级"/>
    <w:basedOn w:val="1"/>
    <w:next w:val="1"/>
    <w:qFormat/>
    <w:uiPriority w:val="0"/>
    <w:pPr>
      <w:tabs>
        <w:tab w:val="left" w:pos="312"/>
      </w:tabs>
      <w:spacing w:line="640" w:lineRule="exact"/>
      <w:ind w:firstLine="0" w:firstLineChars="0"/>
      <w:outlineLvl w:val="2"/>
    </w:pPr>
    <w:rPr>
      <w:rFonts w:hint="eastAsia" w:ascii="Arial" w:hAnsi="Arial"/>
      <w:b/>
      <w:szCs w:val="30"/>
    </w:rPr>
  </w:style>
  <w:style w:type="paragraph" w:customStyle="1" w:styleId="49">
    <w:name w:val="三级"/>
    <w:basedOn w:val="1"/>
    <w:qFormat/>
    <w:uiPriority w:val="0"/>
    <w:pPr>
      <w:spacing w:line="640" w:lineRule="exact"/>
      <w:ind w:firstLine="200"/>
    </w:pPr>
    <w:rPr>
      <w:rFonts w:eastAsia="仿宋_GB2312" w:cstheme="minorEastAsia"/>
      <w:color w:val="000000" w:themeColor="text1"/>
      <w:szCs w:val="28"/>
    </w:rPr>
  </w:style>
  <w:style w:type="paragraph" w:customStyle="1" w:styleId="50">
    <w:name w:val="四级"/>
    <w:basedOn w:val="1"/>
    <w:qFormat/>
    <w:uiPriority w:val="0"/>
    <w:pPr>
      <w:tabs>
        <w:tab w:val="left" w:pos="312"/>
      </w:tabs>
      <w:spacing w:line="640" w:lineRule="exact"/>
      <w:ind w:firstLine="0" w:firstLineChars="0"/>
      <w:outlineLvl w:val="2"/>
    </w:pPr>
    <w:rPr>
      <w:rFonts w:hint="eastAsia" w:eastAsia="仿宋_GB2312"/>
      <w:b/>
      <w:szCs w:val="30"/>
    </w:rPr>
  </w:style>
  <w:style w:type="paragraph" w:customStyle="1" w:styleId="51">
    <w:name w:val="样式1"/>
    <w:basedOn w:val="1"/>
    <w:next w:val="13"/>
    <w:qFormat/>
    <w:uiPriority w:val="0"/>
    <w:pPr>
      <w:spacing w:line="240" w:lineRule="auto"/>
      <w:ind w:firstLine="0" w:firstLineChars="0"/>
      <w:jc w:val="center"/>
    </w:pPr>
    <w:rPr>
      <w:rFonts w:hint="eastAsia" w:eastAsia="仿宋_GB2312"/>
      <w:sz w:val="28"/>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54">
    <w:name w:val="Table Normal"/>
    <w:semiHidden/>
    <w:unhideWhenUsed/>
    <w:qFormat/>
    <w:uiPriority w:val="2"/>
    <w:tblPr>
      <w:tblCellMar>
        <w:top w:w="0" w:type="dxa"/>
        <w:left w:w="0" w:type="dxa"/>
        <w:bottom w:w="0" w:type="dxa"/>
        <w:right w:w="0" w:type="dxa"/>
      </w:tblCellMar>
    </w:tblPr>
  </w:style>
  <w:style w:type="paragraph" w:customStyle="1" w:styleId="55">
    <w:name w:val="Table Paragraph"/>
    <w:basedOn w:val="1"/>
    <w:qFormat/>
    <w:uiPriority w:val="1"/>
    <w:pPr>
      <w:autoSpaceDE w:val="0"/>
      <w:autoSpaceDN w:val="0"/>
      <w:snapToGrid/>
      <w:spacing w:line="240" w:lineRule="auto"/>
      <w:ind w:firstLine="0" w:firstLineChars="0"/>
      <w:jc w:val="left"/>
    </w:pPr>
    <w:rPr>
      <w:rFonts w:ascii="宋体" w:hAnsi="宋体" w:eastAsia="宋体" w:cs="宋体"/>
      <w:kern w:val="0"/>
      <w:sz w:val="22"/>
      <w:szCs w:val="22"/>
    </w:rPr>
  </w:style>
  <w:style w:type="character" w:customStyle="1" w:styleId="56">
    <w:name w:val="font21"/>
    <w:basedOn w:val="23"/>
    <w:qFormat/>
    <w:uiPriority w:val="0"/>
    <w:rPr>
      <w:rFonts w:ascii="Calibri" w:hAnsi="Calibri" w:cs="Calibri"/>
      <w:b/>
      <w:bCs/>
      <w:color w:val="000000"/>
      <w:sz w:val="22"/>
      <w:szCs w:val="22"/>
      <w:u w:val="none"/>
    </w:rPr>
  </w:style>
  <w:style w:type="character" w:customStyle="1" w:styleId="57">
    <w:name w:val="font11"/>
    <w:basedOn w:val="2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942</Words>
  <Characters>981</Characters>
  <Lines>162</Lines>
  <Paragraphs>45</Paragraphs>
  <TotalTime>66</TotalTime>
  <ScaleCrop>false</ScaleCrop>
  <LinksUpToDate>false</LinksUpToDate>
  <CharactersWithSpaces>1093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2025-06-14T23:37:00Z</dcterms:created>
  <dc:creator>xb21cn</dc:creator>
  <cp:lastModifiedBy>磊落不羁1407377213</cp:lastModifiedBy>
  <cp:lastPrinted>2025-08-13T09:06:00Z</cp:lastPrinted>
  <dcterms:modified xsi:type="dcterms:W3CDTF">2025-08-27T03:50:41Z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eyJoZGlkIjoiYjM3NTI1MTBlM2E4NzdhYzc5ZDg0NTY3N2I0ODZjYTMiLCJ1c2VySWQiOiIxOTc4NDQ1OSJ9</vt:lpwstr>
  </property>
  <property fmtid="{D5CDD505-2E9C-101B-9397-08002B2CF9AE}" pid="3" name="KSOProductBuildVer">
    <vt:lpwstr>2052-12.1.0.22529</vt:lpwstr>
  </property>
  <property fmtid="{D5CDD505-2E9C-101B-9397-08002B2CF9AE}" pid="4" name="ICV">
    <vt:lpwstr>7E9A2C521D424D078FCB088A672F6495_13</vt:lpwstr>
  </property>
</Properties>
</file>