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4" w:rsidRDefault="00C308F4" w:rsidP="008E5CE2">
      <w:pPr>
        <w:adjustRightInd w:val="0"/>
        <w:snapToGrid w:val="0"/>
        <w:spacing w:before="100" w:beforeAutospacing="1" w:after="119" w:line="52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proofErr w:type="gramStart"/>
      <w:r w:rsidRPr="00A70949">
        <w:rPr>
          <w:rFonts w:ascii="Times New Roman" w:eastAsia="方正小标宋简体" w:hAnsi="Times New Roman" w:cs="Times New Roman" w:hint="eastAsia"/>
          <w:sz w:val="44"/>
          <w:szCs w:val="44"/>
        </w:rPr>
        <w:t>《</w:t>
      </w:r>
      <w:proofErr w:type="gramEnd"/>
      <w:r>
        <w:rPr>
          <w:rFonts w:eastAsia="方正小标宋简体" w:hint="eastAsia"/>
          <w:snapToGrid w:val="0"/>
          <w:color w:val="000000"/>
          <w:sz w:val="44"/>
          <w:szCs w:val="44"/>
        </w:rPr>
        <w:t>关于解决柳州市不动产登记历史遗留</w:t>
      </w:r>
    </w:p>
    <w:p w:rsidR="00C308F4" w:rsidRDefault="00C308F4" w:rsidP="008E5CE2">
      <w:pPr>
        <w:adjustRightInd w:val="0"/>
        <w:snapToGrid w:val="0"/>
        <w:spacing w:before="100" w:beforeAutospacing="1" w:after="119" w:line="52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r>
        <w:rPr>
          <w:rFonts w:eastAsia="方正小标宋简体" w:hint="eastAsia"/>
          <w:snapToGrid w:val="0"/>
          <w:color w:val="000000"/>
          <w:sz w:val="44"/>
          <w:szCs w:val="44"/>
        </w:rPr>
        <w:t>问题的处理意见</w:t>
      </w:r>
      <w:proofErr w:type="gramStart"/>
      <w:r w:rsidRPr="00A70949">
        <w:rPr>
          <w:rFonts w:ascii="Times New Roman" w:eastAsia="方正小标宋简体" w:hAnsi="Times New Roman" w:cs="Times New Roman" w:hint="eastAsia"/>
          <w:sz w:val="44"/>
          <w:szCs w:val="44"/>
        </w:rPr>
        <w:t>》</w:t>
      </w:r>
      <w:proofErr w:type="gramEnd"/>
      <w:r w:rsidRPr="00A70949">
        <w:rPr>
          <w:rFonts w:ascii="Times New Roman" w:eastAsia="方正小标宋简体" w:hAnsi="Times New Roman" w:cs="Times New Roman" w:hint="eastAsia"/>
          <w:sz w:val="44"/>
          <w:szCs w:val="44"/>
        </w:rPr>
        <w:t>政策解读</w:t>
      </w:r>
    </w:p>
    <w:p w:rsidR="00B556C7" w:rsidRPr="00B556C7" w:rsidRDefault="00B556C7" w:rsidP="008E5CE2">
      <w:pPr>
        <w:adjustRightInd w:val="0"/>
        <w:snapToGrid w:val="0"/>
        <w:spacing w:before="100" w:beforeAutospacing="1" w:after="119" w:line="52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</w:p>
    <w:p w:rsidR="00C308F4" w:rsidRPr="00A70949" w:rsidRDefault="00C308F4" w:rsidP="008E5CE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Helvetica"/>
          <w:color w:val="000000"/>
          <w:sz w:val="32"/>
          <w:szCs w:val="32"/>
        </w:rPr>
      </w:pPr>
      <w:r w:rsidRPr="00C308F4">
        <w:rPr>
          <w:rFonts w:ascii="仿宋_GB2312" w:eastAsia="仿宋_GB2312" w:hAnsi="宋体" w:cs="Helvetica" w:hint="eastAsia"/>
          <w:color w:val="000000"/>
          <w:sz w:val="32"/>
          <w:szCs w:val="32"/>
        </w:rPr>
        <w:t>为加快处理我市当前不动产登记中存在的历史遗留问题，切实规范不动产登记行为，保护权利人合法权益</w:t>
      </w:r>
      <w:r w:rsidRPr="00A70949">
        <w:rPr>
          <w:rFonts w:ascii="仿宋_GB2312" w:eastAsia="仿宋_GB2312" w:hAnsi="宋体" w:cs="Helvetica" w:hint="eastAsia"/>
          <w:color w:val="000000"/>
          <w:sz w:val="32"/>
          <w:szCs w:val="32"/>
        </w:rPr>
        <w:t>，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我市出台了</w:t>
      </w:r>
      <w:r w:rsidRPr="00A70949">
        <w:rPr>
          <w:rFonts w:ascii="仿宋_GB2312" w:eastAsia="仿宋_GB2312" w:hAnsi="宋体" w:cs="Helvetica" w:hint="eastAsia"/>
          <w:color w:val="000000"/>
          <w:sz w:val="32"/>
          <w:szCs w:val="32"/>
        </w:rPr>
        <w:t>《</w:t>
      </w:r>
      <w:r w:rsidR="00B556C7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关于解决柳州市不动产登记历史遗留问题的处理意见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》（</w:t>
      </w:r>
      <w:r w:rsidR="00B83B61" w:rsidRPr="00A70949">
        <w:rPr>
          <w:rFonts w:ascii="仿宋_GB2312" w:eastAsia="仿宋_GB2312" w:hAnsi="宋体" w:cs="Helvetica" w:hint="eastAsia"/>
          <w:color w:val="000000"/>
          <w:sz w:val="32"/>
          <w:szCs w:val="32"/>
        </w:rPr>
        <w:t>以下简称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“</w:t>
      </w:r>
      <w:r w:rsidR="00B83B61" w:rsidRPr="00A70949">
        <w:rPr>
          <w:rFonts w:ascii="仿宋_GB2312" w:eastAsia="仿宋_GB2312" w:hAnsi="宋体" w:cs="Helvetica" w:hint="eastAsia"/>
          <w:color w:val="000000"/>
          <w:sz w:val="32"/>
          <w:szCs w:val="32"/>
        </w:rPr>
        <w:t>《</w:t>
      </w:r>
      <w:r w:rsidR="00B83B61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处理意见</w:t>
      </w:r>
      <w:r w:rsidR="00B83B61" w:rsidRPr="00A70949">
        <w:rPr>
          <w:rFonts w:ascii="仿宋_GB2312" w:eastAsia="仿宋_GB2312" w:hAnsi="宋体" w:cs="Helvetica" w:hint="eastAsia"/>
          <w:color w:val="000000"/>
          <w:sz w:val="32"/>
          <w:szCs w:val="32"/>
        </w:rPr>
        <w:t>》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”）</w:t>
      </w:r>
      <w:r w:rsidRPr="00A70949">
        <w:rPr>
          <w:rFonts w:ascii="仿宋_GB2312" w:eastAsia="仿宋_GB2312" w:hAnsi="宋体" w:cs="Helvetica" w:hint="eastAsia"/>
          <w:color w:val="000000"/>
          <w:sz w:val="32"/>
          <w:szCs w:val="32"/>
        </w:rPr>
        <w:t>。现解读如下：</w:t>
      </w:r>
    </w:p>
    <w:p w:rsidR="00FF13E7" w:rsidRPr="00B556C7" w:rsidRDefault="00BB4902" w:rsidP="008E5CE2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sz w:val="32"/>
          <w:szCs w:val="32"/>
        </w:rPr>
      </w:pPr>
      <w:r w:rsidRPr="00B556C7">
        <w:rPr>
          <w:rFonts w:ascii="Times New Roman" w:eastAsia="黑体" w:hAnsi="Times New Roman" w:cs="Times New Roman" w:hint="eastAsia"/>
          <w:snapToGrid w:val="0"/>
          <w:color w:val="000000"/>
          <w:sz w:val="32"/>
          <w:szCs w:val="32"/>
        </w:rPr>
        <w:t>一、出台背景和依据</w:t>
      </w:r>
    </w:p>
    <w:p w:rsidR="00B556C7" w:rsidRDefault="00B556C7" w:rsidP="008E5CE2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@仿宋"/>
          <w:sz w:val="32"/>
          <w:szCs w:val="32"/>
        </w:rPr>
      </w:pPr>
      <w:r w:rsidRPr="008E6F7D">
        <w:rPr>
          <w:rFonts w:ascii="仿宋_GB2312" w:eastAsia="仿宋_GB2312" w:hAnsi="仿宋" w:cs="@仿宋" w:hint="eastAsia"/>
          <w:sz w:val="32"/>
          <w:szCs w:val="32"/>
        </w:rPr>
        <w:t>不动产统一登记制度实施以来，原分散登记时形成的历史遗留问题大量显现，导致无法按《不动产登记暂行条例》进行登记，造成不动产“登记难”。主要表现形式有：土地权属来源不清或权属资料不全，申请主体缺失，房屋、土地登记用途不一致，规划许可、竣工验收、消防手续不齐全，国有建设用</w:t>
      </w:r>
      <w:proofErr w:type="gramStart"/>
      <w:r w:rsidRPr="008E6F7D">
        <w:rPr>
          <w:rFonts w:ascii="仿宋_GB2312" w:eastAsia="仿宋_GB2312" w:hAnsi="仿宋" w:cs="@仿宋" w:hint="eastAsia"/>
          <w:sz w:val="32"/>
          <w:szCs w:val="32"/>
        </w:rPr>
        <w:t>地上独</w:t>
      </w:r>
      <w:proofErr w:type="gramEnd"/>
      <w:r w:rsidRPr="008E6F7D">
        <w:rPr>
          <w:rFonts w:ascii="仿宋_GB2312" w:eastAsia="仿宋_GB2312" w:hAnsi="仿宋" w:cs="@仿宋" w:hint="eastAsia"/>
          <w:sz w:val="32"/>
          <w:szCs w:val="32"/>
        </w:rPr>
        <w:t>栋居民楼占地与原土地发证范围不符，出让土地上持有房屋所有权证的土地用途、年限不规范等情形。这些问题久拖不决，群众利益得不到保障，已成为社会不稳定因素之一</w:t>
      </w:r>
      <w:r>
        <w:rPr>
          <w:rFonts w:ascii="仿宋_GB2312" w:eastAsia="仿宋_GB2312" w:hAnsi="仿宋" w:cs="@仿宋" w:hint="eastAsia"/>
          <w:sz w:val="32"/>
          <w:szCs w:val="32"/>
        </w:rPr>
        <w:t>。</w:t>
      </w:r>
    </w:p>
    <w:p w:rsidR="00B556C7" w:rsidRPr="008E6F7D" w:rsidRDefault="00B556C7" w:rsidP="008E5CE2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@仿宋"/>
          <w:sz w:val="32"/>
          <w:szCs w:val="32"/>
        </w:rPr>
      </w:pPr>
      <w:r w:rsidRPr="008E6F7D">
        <w:rPr>
          <w:rFonts w:ascii="仿宋_GB2312" w:eastAsia="仿宋_GB2312" w:hAnsi="仿宋" w:cs="@仿宋" w:hint="eastAsia"/>
          <w:sz w:val="32"/>
          <w:szCs w:val="32"/>
        </w:rPr>
        <w:t>为深入贯彻落</w:t>
      </w:r>
      <w:proofErr w:type="gramStart"/>
      <w:r w:rsidRPr="008E6F7D">
        <w:rPr>
          <w:rFonts w:ascii="仿宋_GB2312" w:eastAsia="仿宋_GB2312" w:hAnsi="仿宋" w:cs="@仿宋" w:hint="eastAsia"/>
          <w:sz w:val="32"/>
          <w:szCs w:val="32"/>
        </w:rPr>
        <w:t>实习近</w:t>
      </w:r>
      <w:proofErr w:type="gramEnd"/>
      <w:r w:rsidRPr="008E6F7D">
        <w:rPr>
          <w:rFonts w:ascii="仿宋_GB2312" w:eastAsia="仿宋_GB2312" w:hAnsi="仿宋" w:cs="@仿宋" w:hint="eastAsia"/>
          <w:sz w:val="32"/>
          <w:szCs w:val="32"/>
        </w:rPr>
        <w:t>平总书记视察广西时的重要讲话精神，</w:t>
      </w:r>
      <w:proofErr w:type="gramStart"/>
      <w:r w:rsidRPr="008E6F7D">
        <w:rPr>
          <w:rFonts w:ascii="仿宋_GB2312" w:eastAsia="仿宋_GB2312" w:hAnsi="仿宋" w:cs="@仿宋" w:hint="eastAsia"/>
          <w:sz w:val="32"/>
          <w:szCs w:val="32"/>
        </w:rPr>
        <w:t>践行</w:t>
      </w:r>
      <w:proofErr w:type="gramEnd"/>
      <w:r w:rsidRPr="008E6F7D">
        <w:rPr>
          <w:rFonts w:ascii="仿宋_GB2312" w:eastAsia="仿宋_GB2312" w:hAnsi="仿宋" w:cs="@仿宋" w:hint="eastAsia"/>
          <w:sz w:val="32"/>
          <w:szCs w:val="32"/>
        </w:rPr>
        <w:t>以人民为中心的发展思想，</w:t>
      </w:r>
      <w:r>
        <w:rPr>
          <w:rFonts w:ascii="仿宋_GB2312" w:eastAsia="仿宋_GB2312" w:hAnsi="仿宋" w:cs="@仿宋" w:hint="eastAsia"/>
          <w:sz w:val="32"/>
          <w:szCs w:val="32"/>
        </w:rPr>
        <w:t>加快解决我市不动产登记历史遗留问题，切实维护人民群众合法权益，促进社会和谐稳定，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根据《中华人民共和国民法典》《房地产管理法》《土地管理法》《中华人民共和国城镇国土地使用权出让和转让暂行条例》《不动产登记暂行条例》等相关法律法规，以及自治区自然资源厅印发</w:t>
      </w:r>
      <w:r>
        <w:rPr>
          <w:rFonts w:ascii="仿宋_GB2312" w:eastAsia="仿宋_GB2312" w:hAnsi="仿宋" w:cs="@仿宋" w:hint="eastAsia"/>
          <w:sz w:val="32"/>
          <w:szCs w:val="32"/>
        </w:rPr>
        <w:t>《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关于加快解决不动产登记历史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lastRenderedPageBreak/>
        <w:t>遗留问题指导意见的通知》（</w:t>
      </w:r>
      <w:proofErr w:type="gramStart"/>
      <w:r w:rsidRPr="008E6F7D">
        <w:rPr>
          <w:rFonts w:ascii="仿宋_GB2312" w:eastAsia="仿宋_GB2312" w:hAnsi="仿宋" w:cs="@仿宋" w:hint="eastAsia"/>
          <w:sz w:val="32"/>
          <w:szCs w:val="32"/>
        </w:rPr>
        <w:t>桂自然资发</w:t>
      </w:r>
      <w:proofErr w:type="gramEnd"/>
      <w:r w:rsidRPr="008E6F7D">
        <w:rPr>
          <w:rFonts w:ascii="仿宋_GB2312" w:eastAsia="仿宋_GB2312" w:hAnsi="仿宋" w:cs="@仿宋" w:hint="eastAsia"/>
          <w:sz w:val="32"/>
          <w:szCs w:val="32"/>
        </w:rPr>
        <w:t>〔2021〕54号）</w:t>
      </w:r>
      <w:r>
        <w:rPr>
          <w:rFonts w:ascii="仿宋_GB2312" w:eastAsia="仿宋_GB2312" w:hAnsi="仿宋" w:cs="@仿宋" w:hint="eastAsia"/>
          <w:sz w:val="32"/>
          <w:szCs w:val="32"/>
        </w:rPr>
        <w:t>有关精神，结合我市实际，制定了《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处理意见</w:t>
      </w:r>
      <w:r>
        <w:rPr>
          <w:rFonts w:ascii="仿宋_GB2312" w:eastAsia="仿宋_GB2312" w:hAnsi="仿宋" w:cs="@仿宋" w:hint="eastAsia"/>
          <w:sz w:val="32"/>
          <w:szCs w:val="32"/>
        </w:rPr>
        <w:t>》。</w:t>
      </w:r>
    </w:p>
    <w:p w:rsidR="00FF13E7" w:rsidRPr="00B83B61" w:rsidRDefault="00BB4902" w:rsidP="008E5CE2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sz w:val="32"/>
          <w:szCs w:val="32"/>
        </w:rPr>
      </w:pPr>
      <w:r w:rsidRPr="00B83B61">
        <w:rPr>
          <w:rFonts w:ascii="Times New Roman" w:eastAsia="黑体" w:hAnsi="Times New Roman" w:cs="Times New Roman" w:hint="eastAsia"/>
          <w:snapToGrid w:val="0"/>
          <w:color w:val="000000"/>
          <w:sz w:val="32"/>
          <w:szCs w:val="32"/>
        </w:rPr>
        <w:t>二、目标任务</w:t>
      </w:r>
    </w:p>
    <w:p w:rsidR="00FF13E7" w:rsidRPr="00B556C7" w:rsidRDefault="00BB4902" w:rsidP="008E5CE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Helvetica"/>
          <w:color w:val="000000"/>
          <w:sz w:val="32"/>
          <w:szCs w:val="32"/>
        </w:rPr>
      </w:pPr>
      <w:r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按照“尊重历史、兼顾现实、服务于民、取信于民、让利于民”和“缺什么补什么、谁审批谁负责”的原则，以为民办实事、解难题为落脚点，针对全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市</w:t>
      </w:r>
      <w:r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具有共性、普遍性的6大类问题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12</w:t>
      </w:r>
      <w:r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种具体情形，在现有政策的基础上提出了具体的解决路径和破解办法，并明确利用3年时间全面推动全</w:t>
      </w:r>
      <w:r w:rsidR="00B83B61">
        <w:rPr>
          <w:rFonts w:ascii="仿宋_GB2312" w:eastAsia="仿宋_GB2312" w:hAnsi="宋体" w:cs="Helvetica" w:hint="eastAsia"/>
          <w:color w:val="000000"/>
          <w:sz w:val="32"/>
          <w:szCs w:val="32"/>
        </w:rPr>
        <w:t>市</w:t>
      </w:r>
      <w:r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6大类不动产登记历史遗留问题集中化解，切实维护人民群众合法权益，促进社会和谐稳定。</w:t>
      </w:r>
    </w:p>
    <w:p w:rsidR="00FF13E7" w:rsidRPr="00B83B61" w:rsidRDefault="00BB4902" w:rsidP="008E5CE2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sz w:val="32"/>
          <w:szCs w:val="32"/>
        </w:rPr>
      </w:pPr>
      <w:r w:rsidRPr="00B83B61">
        <w:rPr>
          <w:rFonts w:ascii="Times New Roman" w:eastAsia="黑体" w:hAnsi="Times New Roman" w:cs="Times New Roman" w:hint="eastAsia"/>
          <w:snapToGrid w:val="0"/>
          <w:color w:val="000000"/>
          <w:sz w:val="32"/>
          <w:szCs w:val="32"/>
        </w:rPr>
        <w:t>三、主要内容</w:t>
      </w:r>
    </w:p>
    <w:p w:rsidR="00B83B61" w:rsidRPr="008E6F7D" w:rsidRDefault="00B83B61" w:rsidP="008E5CE2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@仿宋"/>
          <w:sz w:val="32"/>
          <w:szCs w:val="32"/>
        </w:rPr>
      </w:pPr>
      <w:r>
        <w:rPr>
          <w:rFonts w:ascii="仿宋_GB2312" w:eastAsia="仿宋_GB2312" w:hAnsi="仿宋" w:cs="@仿宋" w:hint="eastAsia"/>
          <w:sz w:val="32"/>
          <w:szCs w:val="32"/>
        </w:rPr>
        <w:t>《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处理意见</w:t>
      </w:r>
      <w:r>
        <w:rPr>
          <w:rFonts w:ascii="仿宋_GB2312" w:eastAsia="仿宋_GB2312" w:hAnsi="仿宋" w:cs="@仿宋" w:hint="eastAsia"/>
          <w:sz w:val="32"/>
          <w:szCs w:val="32"/>
        </w:rPr>
        <w:t>》共6条12点，《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处理意见</w:t>
      </w:r>
      <w:r>
        <w:rPr>
          <w:rFonts w:ascii="仿宋_GB2312" w:eastAsia="仿宋_GB2312" w:hAnsi="仿宋" w:cs="@仿宋" w:hint="eastAsia"/>
          <w:sz w:val="32"/>
          <w:szCs w:val="32"/>
        </w:rPr>
        <w:t>》针对全市具有共性、普遍性的6大类问题12种具体情形，在现有政策的基础上提出了具体的解决路径和破解办法，并对《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处理意见</w:t>
      </w:r>
      <w:r>
        <w:rPr>
          <w:rFonts w:ascii="仿宋_GB2312" w:eastAsia="仿宋_GB2312" w:hAnsi="仿宋" w:cs="@仿宋" w:hint="eastAsia"/>
          <w:sz w:val="32"/>
          <w:szCs w:val="32"/>
        </w:rPr>
        <w:t>》的实施期限、实施范围和实施要求进行了明确。6大类问题12种具体情形分别是：一是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关于解决土地权属来源不清或权属资料不全的问题</w:t>
      </w:r>
      <w:bookmarkStart w:id="0" w:name="_GoBack"/>
      <w:bookmarkEnd w:id="0"/>
      <w:r>
        <w:rPr>
          <w:rFonts w:ascii="仿宋_GB2312" w:eastAsia="仿宋_GB2312" w:hAnsi="仿宋" w:cs="@仿宋" w:hint="eastAsia"/>
          <w:sz w:val="32"/>
          <w:szCs w:val="32"/>
        </w:rPr>
        <w:t>，包括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国有土地建设项目有房屋所有权证、无土地权属来源</w:t>
      </w:r>
      <w:r>
        <w:rPr>
          <w:rFonts w:ascii="仿宋_GB2312" w:eastAsia="仿宋_GB2312" w:hAnsi="仿宋" w:cs="@仿宋" w:hint="eastAsia"/>
          <w:sz w:val="32"/>
          <w:szCs w:val="32"/>
        </w:rPr>
        <w:t>，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未依法办理划拨土地转让审批手续</w:t>
      </w:r>
      <w:r>
        <w:rPr>
          <w:rFonts w:ascii="仿宋_GB2312" w:eastAsia="仿宋_GB2312" w:hAnsi="仿宋" w:cs="@仿宋" w:hint="eastAsia"/>
          <w:sz w:val="32"/>
          <w:szCs w:val="32"/>
        </w:rPr>
        <w:t>，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1987年1月1日《土地管理法》实施前，党政机关、事业单位无土地、房屋权属来源，欠缴土地出让价款和相关税费等</w:t>
      </w:r>
      <w:r>
        <w:rPr>
          <w:rFonts w:ascii="仿宋_GB2312" w:eastAsia="仿宋_GB2312" w:hAnsi="仿宋" w:cs="@仿宋" w:hint="eastAsia"/>
          <w:sz w:val="32"/>
          <w:szCs w:val="32"/>
        </w:rPr>
        <w:t>等四种情形。二是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关于解决申请主体缺失的问题</w:t>
      </w:r>
      <w:r>
        <w:rPr>
          <w:rFonts w:ascii="仿宋_GB2312" w:eastAsia="仿宋_GB2312" w:hAnsi="仿宋" w:cs="@仿宋" w:hint="eastAsia"/>
          <w:sz w:val="32"/>
          <w:szCs w:val="32"/>
        </w:rPr>
        <w:t>，包括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开发建设单位灭失</w:t>
      </w:r>
      <w:r>
        <w:rPr>
          <w:rFonts w:ascii="仿宋_GB2312" w:eastAsia="仿宋_GB2312" w:hAnsi="仿宋" w:cs="@仿宋" w:hint="eastAsia"/>
          <w:sz w:val="32"/>
          <w:szCs w:val="32"/>
        </w:rPr>
        <w:t>、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开发建设单位不配合办理不动产登记</w:t>
      </w:r>
      <w:r>
        <w:rPr>
          <w:rFonts w:ascii="仿宋_GB2312" w:eastAsia="仿宋_GB2312" w:hAnsi="仿宋" w:cs="@仿宋" w:hint="eastAsia"/>
          <w:sz w:val="32"/>
          <w:szCs w:val="32"/>
        </w:rPr>
        <w:t>、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开发建设单位法定负责人</w:t>
      </w:r>
      <w:proofErr w:type="gramStart"/>
      <w:r w:rsidRPr="008E6F7D">
        <w:rPr>
          <w:rFonts w:ascii="仿宋_GB2312" w:eastAsia="仿宋_GB2312" w:hAnsi="仿宋" w:cs="@仿宋" w:hint="eastAsia"/>
          <w:sz w:val="32"/>
          <w:szCs w:val="32"/>
        </w:rPr>
        <w:t>失联导致</w:t>
      </w:r>
      <w:proofErr w:type="gramEnd"/>
      <w:r w:rsidRPr="008E6F7D">
        <w:rPr>
          <w:rFonts w:ascii="仿宋_GB2312" w:eastAsia="仿宋_GB2312" w:hAnsi="仿宋" w:cs="@仿宋" w:hint="eastAsia"/>
          <w:sz w:val="32"/>
          <w:szCs w:val="32"/>
        </w:rPr>
        <w:t>申请主体缺失</w:t>
      </w:r>
      <w:r>
        <w:rPr>
          <w:rFonts w:ascii="仿宋_GB2312" w:eastAsia="仿宋_GB2312" w:hAnsi="仿宋" w:cs="@仿宋" w:hint="eastAsia"/>
          <w:sz w:val="32"/>
          <w:szCs w:val="32"/>
        </w:rPr>
        <w:t>等三种情形。三是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关于解决房屋、土地登记用途不一致问题</w:t>
      </w:r>
      <w:r>
        <w:rPr>
          <w:rFonts w:ascii="仿宋_GB2312" w:eastAsia="仿宋_GB2312" w:hAnsi="仿宋" w:cs="@仿宋" w:hint="eastAsia"/>
          <w:sz w:val="32"/>
          <w:szCs w:val="32"/>
        </w:rPr>
        <w:t>。四是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关于解决规划许可、竣工验收、消防手续不齐全的问题</w:t>
      </w:r>
      <w:r>
        <w:rPr>
          <w:rFonts w:ascii="仿宋_GB2312" w:eastAsia="仿宋_GB2312" w:hAnsi="仿宋" w:cs="@仿宋" w:hint="eastAsia"/>
          <w:sz w:val="32"/>
          <w:szCs w:val="32"/>
        </w:rPr>
        <w:t>，包括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未通过建设工程规划条件核实、项目建设工程竣工手续和消防手续缺失</w:t>
      </w:r>
      <w:r>
        <w:rPr>
          <w:rFonts w:ascii="仿宋_GB2312" w:eastAsia="仿宋_GB2312" w:hAnsi="仿宋" w:cs="@仿宋" w:hint="eastAsia"/>
          <w:sz w:val="32"/>
          <w:szCs w:val="32"/>
        </w:rPr>
        <w:lastRenderedPageBreak/>
        <w:t>等两种情形。五是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关于解决国有建设用</w:t>
      </w:r>
      <w:proofErr w:type="gramStart"/>
      <w:r w:rsidRPr="008E6F7D">
        <w:rPr>
          <w:rFonts w:ascii="仿宋_GB2312" w:eastAsia="仿宋_GB2312" w:hAnsi="仿宋" w:cs="@仿宋" w:hint="eastAsia"/>
          <w:sz w:val="32"/>
          <w:szCs w:val="32"/>
        </w:rPr>
        <w:t>地上独</w:t>
      </w:r>
      <w:proofErr w:type="gramEnd"/>
      <w:r w:rsidRPr="008E6F7D">
        <w:rPr>
          <w:rFonts w:ascii="仿宋_GB2312" w:eastAsia="仿宋_GB2312" w:hAnsi="仿宋" w:cs="@仿宋" w:hint="eastAsia"/>
          <w:sz w:val="32"/>
          <w:szCs w:val="32"/>
        </w:rPr>
        <w:t>栋居民楼占地与原土地发证范围不符的问题</w:t>
      </w:r>
      <w:r>
        <w:rPr>
          <w:rFonts w:ascii="仿宋_GB2312" w:eastAsia="仿宋_GB2312" w:hAnsi="仿宋" w:cs="@仿宋" w:hint="eastAsia"/>
          <w:sz w:val="32"/>
          <w:szCs w:val="32"/>
        </w:rPr>
        <w:t>。六是</w:t>
      </w:r>
      <w:r w:rsidRPr="008E6F7D">
        <w:rPr>
          <w:rFonts w:ascii="仿宋_GB2312" w:eastAsia="仿宋_GB2312" w:hAnsi="仿宋" w:cs="@仿宋" w:hint="eastAsia"/>
          <w:sz w:val="32"/>
          <w:szCs w:val="32"/>
        </w:rPr>
        <w:t>关于解决出让土地上持有房屋所有权证的土地用途、年限不规范问题</w:t>
      </w:r>
      <w:r>
        <w:rPr>
          <w:rFonts w:ascii="仿宋_GB2312" w:eastAsia="仿宋_GB2312" w:hAnsi="仿宋" w:cs="@仿宋" w:hint="eastAsia"/>
          <w:sz w:val="32"/>
          <w:szCs w:val="32"/>
        </w:rPr>
        <w:t>。</w:t>
      </w:r>
    </w:p>
    <w:p w:rsidR="00FF13E7" w:rsidRPr="00B83B61" w:rsidRDefault="00BB4902" w:rsidP="008E5CE2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sz w:val="32"/>
          <w:szCs w:val="32"/>
        </w:rPr>
      </w:pPr>
      <w:r w:rsidRPr="00B83B61">
        <w:rPr>
          <w:rFonts w:ascii="Times New Roman" w:eastAsia="黑体" w:hAnsi="Times New Roman" w:cs="Times New Roman" w:hint="eastAsia"/>
          <w:snapToGrid w:val="0"/>
          <w:color w:val="000000"/>
          <w:sz w:val="32"/>
          <w:szCs w:val="32"/>
        </w:rPr>
        <w:t>四、实施范围</w:t>
      </w:r>
    </w:p>
    <w:p w:rsidR="00FF13E7" w:rsidRPr="00B556C7" w:rsidRDefault="00B83B61" w:rsidP="008E5CE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Helvetica"/>
          <w:color w:val="000000"/>
          <w:sz w:val="32"/>
          <w:szCs w:val="32"/>
        </w:rPr>
      </w:pP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《处理意见》</w:t>
      </w:r>
      <w:r w:rsidR="00BB4902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适用于文件印发之前我</w:t>
      </w: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市</w:t>
      </w:r>
      <w:r w:rsidR="00BB4902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已经形成的6大类1</w:t>
      </w: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2</w:t>
      </w:r>
      <w:r w:rsidR="00BB4902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种情形不动产登记历史遗留问题。</w:t>
      </w: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《处理意见》</w:t>
      </w:r>
      <w:r w:rsidR="00BB4902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印发之日起新形成的问题以及“小产权房”不适用本意见。</w:t>
      </w:r>
    </w:p>
    <w:p w:rsidR="00FF13E7" w:rsidRPr="00B83B61" w:rsidRDefault="00BB4902" w:rsidP="008E5CE2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sz w:val="32"/>
          <w:szCs w:val="32"/>
        </w:rPr>
      </w:pPr>
      <w:r w:rsidRPr="00B83B61">
        <w:rPr>
          <w:rFonts w:ascii="Times New Roman" w:eastAsia="黑体" w:hAnsi="Times New Roman" w:cs="Times New Roman" w:hint="eastAsia"/>
          <w:snapToGrid w:val="0"/>
          <w:color w:val="000000"/>
          <w:sz w:val="32"/>
          <w:szCs w:val="32"/>
        </w:rPr>
        <w:t>五、执行标准</w:t>
      </w:r>
    </w:p>
    <w:p w:rsidR="00FF13E7" w:rsidRPr="00B556C7" w:rsidRDefault="00B83B61" w:rsidP="008E5CE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Helvetica"/>
          <w:color w:val="000000"/>
          <w:sz w:val="32"/>
          <w:szCs w:val="32"/>
        </w:rPr>
      </w:pP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《处理意见》</w:t>
      </w:r>
      <w:r w:rsidR="00BB4902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严格执行《中华人民共和国民法典》《不动产登记暂行条例》《不动产登记暂行条例实施细则》以及自然资源部</w:t>
      </w:r>
      <w:r w:rsidR="00D956C3">
        <w:rPr>
          <w:rFonts w:ascii="仿宋_GB2312" w:eastAsia="仿宋_GB2312" w:hAnsi="宋体" w:cs="Helvetica" w:hint="eastAsia"/>
          <w:color w:val="000000"/>
          <w:sz w:val="32"/>
          <w:szCs w:val="32"/>
        </w:rPr>
        <w:t>、自治区自然资源厅</w:t>
      </w:r>
      <w:r w:rsidR="00BB4902" w:rsidRPr="00B556C7">
        <w:rPr>
          <w:rFonts w:ascii="仿宋_GB2312" w:eastAsia="仿宋_GB2312" w:hAnsi="宋体" w:cs="Helvetica" w:hint="eastAsia"/>
          <w:color w:val="000000"/>
          <w:sz w:val="32"/>
          <w:szCs w:val="32"/>
        </w:rPr>
        <w:t>等上级管理部门有关规定和要求。</w:t>
      </w:r>
    </w:p>
    <w:sectPr w:rsidR="00FF13E7" w:rsidRPr="00B556C7" w:rsidSect="00666A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E8" w:rsidRDefault="00BA28E8" w:rsidP="00B83B61">
      <w:r>
        <w:separator/>
      </w:r>
    </w:p>
  </w:endnote>
  <w:endnote w:type="continuationSeparator" w:id="0">
    <w:p w:rsidR="00BA28E8" w:rsidRDefault="00BA28E8" w:rsidP="00B8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6383"/>
      <w:docPartObj>
        <w:docPartGallery w:val="Page Numbers (Bottom of Page)"/>
        <w:docPartUnique/>
      </w:docPartObj>
    </w:sdtPr>
    <w:sdtEndPr/>
    <w:sdtContent>
      <w:p w:rsidR="00B4485D" w:rsidRDefault="00B44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E2" w:rsidRPr="008E5CE2">
          <w:rPr>
            <w:noProof/>
            <w:lang w:val="zh-CN"/>
          </w:rPr>
          <w:t>3</w:t>
        </w:r>
        <w:r>
          <w:fldChar w:fldCharType="end"/>
        </w:r>
      </w:p>
    </w:sdtContent>
  </w:sdt>
  <w:p w:rsidR="00B4485D" w:rsidRDefault="00B448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E8" w:rsidRDefault="00BA28E8" w:rsidP="00B83B61">
      <w:r>
        <w:separator/>
      </w:r>
    </w:p>
  </w:footnote>
  <w:footnote w:type="continuationSeparator" w:id="0">
    <w:p w:rsidR="00BA28E8" w:rsidRDefault="00BA28E8" w:rsidP="00B8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3E7"/>
    <w:rsid w:val="00247262"/>
    <w:rsid w:val="00346092"/>
    <w:rsid w:val="00613EC7"/>
    <w:rsid w:val="00666A63"/>
    <w:rsid w:val="00692F1D"/>
    <w:rsid w:val="007C1D1B"/>
    <w:rsid w:val="008E5CE2"/>
    <w:rsid w:val="00B4485D"/>
    <w:rsid w:val="00B556C7"/>
    <w:rsid w:val="00B83B61"/>
    <w:rsid w:val="00BA28E8"/>
    <w:rsid w:val="00BB4902"/>
    <w:rsid w:val="00C308F4"/>
    <w:rsid w:val="00D956C3"/>
    <w:rsid w:val="00FF13E7"/>
    <w:rsid w:val="70AF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B6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8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B61"/>
    <w:rPr>
      <w:kern w:val="2"/>
      <w:sz w:val="18"/>
      <w:szCs w:val="18"/>
    </w:rPr>
  </w:style>
  <w:style w:type="paragraph" w:styleId="a5">
    <w:name w:val="Balloon Text"/>
    <w:basedOn w:val="a"/>
    <w:link w:val="Char1"/>
    <w:rsid w:val="008E5CE2"/>
    <w:rPr>
      <w:sz w:val="18"/>
      <w:szCs w:val="18"/>
    </w:rPr>
  </w:style>
  <w:style w:type="character" w:customStyle="1" w:styleId="Char1">
    <w:name w:val="批注框文本 Char"/>
    <w:basedOn w:val="a0"/>
    <w:link w:val="a5"/>
    <w:rsid w:val="008E5C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B61"/>
    <w:rPr>
      <w:kern w:val="2"/>
      <w:sz w:val="18"/>
      <w:szCs w:val="18"/>
    </w:rPr>
  </w:style>
  <w:style w:type="paragraph" w:styleId="a4">
    <w:name w:val="footer"/>
    <w:basedOn w:val="a"/>
    <w:link w:val="Char0"/>
    <w:rsid w:val="00B8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B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210</Words>
  <Characters>1198</Characters>
  <Application>Microsoft Office Word</Application>
  <DocSecurity>0</DocSecurity>
  <Lines>9</Lines>
  <Paragraphs>2</Paragraphs>
  <ScaleCrop>false</ScaleCrop>
  <Company>GTJ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</dc:creator>
  <cp:lastModifiedBy>郭向心</cp:lastModifiedBy>
  <cp:revision>7</cp:revision>
  <cp:lastPrinted>2022-01-14T01:00:00Z</cp:lastPrinted>
  <dcterms:created xsi:type="dcterms:W3CDTF">2022-01-06T01:08:00Z</dcterms:created>
  <dcterms:modified xsi:type="dcterms:W3CDTF">2022-01-14T01:00:00Z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86305E839C344C3B894C2A82D62ABD38</vt:lpwstr>
  </property>
</Properties>
</file>