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附件9-2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（适用于已签农民个人住宅征收补偿安置协议未交房情形）</w:t>
      </w:r>
    </w:p>
    <w:p>
      <w:pPr>
        <w:adjustRightInd w:val="0"/>
        <w:snapToGrid w:val="0"/>
        <w:spacing w:line="276" w:lineRule="auto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276" w:lineRule="auto"/>
        <w:jc w:val="center"/>
        <w:rPr>
          <w:rFonts w:asciiTheme="majorEastAsia" w:hAnsiTheme="majorEastAsia" w:eastAsiaTheme="majorEastAsia"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</w:rPr>
        <w:t>责令限期迁出房屋</w:t>
      </w:r>
      <w:r>
        <w:rPr>
          <w:rFonts w:asciiTheme="majorEastAsia" w:hAnsiTheme="majorEastAsia" w:eastAsiaTheme="majorEastAsia"/>
          <w:sz w:val="44"/>
          <w:szCs w:val="44"/>
        </w:rPr>
        <w:t>决定书</w:t>
      </w:r>
    </w:p>
    <w:p>
      <w:pPr>
        <w:adjustRightInd w:val="0"/>
        <w:snapToGrid w:val="0"/>
        <w:spacing w:line="276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 xml:space="preserve">                       ××</w:t>
      </w:r>
      <w:r>
        <w:rPr>
          <w:rFonts w:ascii="仿宋" w:hAnsi="仿宋" w:eastAsia="仿宋"/>
          <w:sz w:val="32"/>
          <w:szCs w:val="32"/>
        </w:rPr>
        <w:t>迁出决字〔20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征收机关：柳州市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地址：柳州市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路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号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法定代表人： 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 xml:space="preserve">      职务：区（县）长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，男，生于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日，住址：柳州市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号，身份证号：4502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××××××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被征收房屋的位置、结构及面积：柳州市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××屯，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被征收房屋总建筑面积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㎡，其中：有所有权依据房屋建筑面积：砖混结构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㎡, 砖木结构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㎡，钢结构面积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㎡，有所有权依据土地面积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㎡；无所有权依据建筑面积：砖混结构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㎡, 砖木结构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㎡，钢结构面积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㎡，钢架棚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㎡，简易棚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㎡；其他建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构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筑物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㎡，详见房屋实测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测绘成果报告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(图幅号：××）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因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公共利益和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实施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项目建设，需要对柳州市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××乡（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镇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）××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村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××屯××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村民小组的部分集体土地进行征收，被征收房屋所有权人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××的房屋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在预征地范围内。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集体土地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预公告，并组织开展了项目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土地现状调查。在预征地的土地现状调查（房屋征收调查）结果确认、房屋征收补偿申报登记过程中，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被征收房屋所有权人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均按规定进行了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申报登记，并对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本项目的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土地现状调查（房屋征收调查）结果予以签字确认。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区（县）人民政府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在被征收土地所在的乡（镇）和村、村民小组范围内发布集体土地房屋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征收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补偿安置公告，告知被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征收人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办理补偿登记的方式和期限、不办理补偿登记的后果以及异议反馈渠道等内容。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区（县）征地机构与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签订了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项目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补偿安置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协议，协议约定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在收到全部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征收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补偿费（适用于全货币补偿安置）或领取第一次临时过渡安置费（适用于房屋产权调换）或接收临时过渡安置房（适用于房屋产权调换）后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内迁出被征收的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集体土地房屋，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交出房屋所占用的土地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日，自然资源部或广西壮族自治区人民政府或柳州市人民政府以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××文件（写明文件全称及文件字号）批准征收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所在村集体土地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××亩，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××的房屋占地××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在该被征收的××亩集体土地范围内。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区（县）人民政府发布了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项目批后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征地公告，告知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被征收土地的所有权人、使用权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（承包经营权）人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批准征地机关、批准文号、征收土地的批准用途、权属、范围、面积以及征地补偿标准、征收时间等内容。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至此，该项目法定的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征收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程序已履行完毕。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日，柳州市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区（县）征地机构在履行完上述补偿安置义务后书面通知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在规定的期限内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迁出被征收的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。现期限已过，但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以“征收补偿标准太低”或“补偿安置不合理、未满足其他要求等”为由，拒不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迁出被征收的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本征收机关认为，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与柳州市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区（县）征地机构签订了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征收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补偿安置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协议，理应按照协议约定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迁出被征收的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在领取了全部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征收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补偿费（适用于全货币补偿安置）或领取第一次临时过渡安置费（适用于房屋产权调换）或接收临时过渡安置房（适用于房屋产权调换），并经催告后仍未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迁出被征收的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集体土地房屋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，违反了土地管理相关法律法规的规定。为此，本征收机关依据《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广西壮族自治区土地管理条例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》第三十七条的规定，作出限期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迁出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房屋决定如下：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责令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于本决定书送达之日起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15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日内迁出上述已被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征收的房屋，交出房屋所占用的土地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如不服本决定，可在本决定送达之日起六十日内向柳州市人民政府申请行政复议，或者六个月内向柳州市中级人民法院提起行政诉讼。</w:t>
      </w:r>
    </w:p>
    <w:p>
      <w:pPr>
        <w:adjustRightInd w:val="0"/>
        <w:snapToGrid w:val="0"/>
        <w:spacing w:line="276" w:lineRule="auto"/>
        <w:ind w:firstLine="640" w:firstLineChars="200"/>
        <w:rPr>
          <w:rFonts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被征收人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在法定期限内不申请行政复议或者不提起行政诉讼，在本决定规定的期限内又不迁出房屋的，本征收机关将依法申请柳州市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××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</w:rPr>
        <w:t>区（县）人民法院强制执行。</w:t>
      </w:r>
    </w:p>
    <w:p>
      <w:pPr>
        <w:adjustRightInd w:val="0"/>
        <w:snapToGrid w:val="0"/>
        <w:spacing w:line="276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柳州市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z w:val="32"/>
          <w:szCs w:val="32"/>
        </w:rPr>
        <w:t>区（县）人民政府</w:t>
      </w:r>
    </w:p>
    <w:p>
      <w:pPr>
        <w:adjustRightInd w:val="0"/>
        <w:snapToGrid w:val="0"/>
        <w:spacing w:line="276" w:lineRule="auto"/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××</w:t>
      </w:r>
      <w:r>
        <w:rPr>
          <w:rFonts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895972"/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1A9"/>
    <w:rsid w:val="00027AC9"/>
    <w:rsid w:val="00030B7C"/>
    <w:rsid w:val="00043ACA"/>
    <w:rsid w:val="000862AB"/>
    <w:rsid w:val="000E6AD0"/>
    <w:rsid w:val="000F14F9"/>
    <w:rsid w:val="00135323"/>
    <w:rsid w:val="00156B04"/>
    <w:rsid w:val="001A5D77"/>
    <w:rsid w:val="001B31A9"/>
    <w:rsid w:val="001E7464"/>
    <w:rsid w:val="0023514B"/>
    <w:rsid w:val="002761F3"/>
    <w:rsid w:val="00290340"/>
    <w:rsid w:val="002D69F3"/>
    <w:rsid w:val="00301FA7"/>
    <w:rsid w:val="00364819"/>
    <w:rsid w:val="00387148"/>
    <w:rsid w:val="003E6261"/>
    <w:rsid w:val="00400DC7"/>
    <w:rsid w:val="0040199F"/>
    <w:rsid w:val="00416CC2"/>
    <w:rsid w:val="00435171"/>
    <w:rsid w:val="00441254"/>
    <w:rsid w:val="004A1AE2"/>
    <w:rsid w:val="004C72BB"/>
    <w:rsid w:val="004D7381"/>
    <w:rsid w:val="00511FAA"/>
    <w:rsid w:val="00536429"/>
    <w:rsid w:val="00573D8D"/>
    <w:rsid w:val="0057525B"/>
    <w:rsid w:val="00597FFC"/>
    <w:rsid w:val="005E0A42"/>
    <w:rsid w:val="0061589B"/>
    <w:rsid w:val="00616026"/>
    <w:rsid w:val="00636603"/>
    <w:rsid w:val="0066331E"/>
    <w:rsid w:val="00681F61"/>
    <w:rsid w:val="00730456"/>
    <w:rsid w:val="00731E7D"/>
    <w:rsid w:val="0074015A"/>
    <w:rsid w:val="0076692D"/>
    <w:rsid w:val="00794760"/>
    <w:rsid w:val="007D51A6"/>
    <w:rsid w:val="00817872"/>
    <w:rsid w:val="00837A98"/>
    <w:rsid w:val="00863288"/>
    <w:rsid w:val="00893E9D"/>
    <w:rsid w:val="00A200B0"/>
    <w:rsid w:val="00A44018"/>
    <w:rsid w:val="00AA02DE"/>
    <w:rsid w:val="00B11607"/>
    <w:rsid w:val="00B76A45"/>
    <w:rsid w:val="00BA77F8"/>
    <w:rsid w:val="00BC173E"/>
    <w:rsid w:val="00C1794C"/>
    <w:rsid w:val="00C40DC4"/>
    <w:rsid w:val="00C41725"/>
    <w:rsid w:val="00C57B3C"/>
    <w:rsid w:val="00C775DA"/>
    <w:rsid w:val="00D12314"/>
    <w:rsid w:val="00D21D0A"/>
    <w:rsid w:val="00D5347E"/>
    <w:rsid w:val="00DB2EBB"/>
    <w:rsid w:val="00E81220"/>
    <w:rsid w:val="00EC32A2"/>
    <w:rsid w:val="00EC4F4E"/>
    <w:rsid w:val="00EE71BA"/>
    <w:rsid w:val="00EF3BEA"/>
    <w:rsid w:val="00F00A23"/>
    <w:rsid w:val="00F01E38"/>
    <w:rsid w:val="00F46F6B"/>
    <w:rsid w:val="00F83B46"/>
    <w:rsid w:val="00FD552A"/>
    <w:rsid w:val="0A822F6F"/>
    <w:rsid w:val="0FBE5C6C"/>
    <w:rsid w:val="1BE558DA"/>
    <w:rsid w:val="1F952BA3"/>
    <w:rsid w:val="56AC1C7B"/>
    <w:rsid w:val="5F985AB2"/>
    <w:rsid w:val="610160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TML 预设格式 Char"/>
    <w:basedOn w:val="7"/>
    <w:link w:val="5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254</Words>
  <Characters>1451</Characters>
  <Lines>12</Lines>
  <Paragraphs>3</Paragraphs>
  <TotalTime>3</TotalTime>
  <ScaleCrop>false</ScaleCrop>
  <LinksUpToDate>false</LinksUpToDate>
  <CharactersWithSpaces>1702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2024-07-03T07:15:00Z</dcterms:created>
  <dc:creator>Windows 用户</dc:creator>
  <cp:lastModifiedBy>蓝云岑</cp:lastModifiedBy>
  <cp:lastPrinted>2024-01-05T05:56:00Z</cp:lastPrinted>
  <dcterms:modified xsi:type="dcterms:W3CDTF">2024-09-11T02:07:18Z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55438059969145C3A30A891E0FE2D9C9</vt:lpwstr>
  </property>
</Properties>
</file>